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F9" w:rsidRPr="00B552F9" w:rsidRDefault="00011A4C">
      <w:pPr>
        <w:rPr>
          <w:rFonts w:ascii="Museo Slab 500" w:hAnsi="Museo Slab 500"/>
          <w:sz w:val="32"/>
          <w:szCs w:val="32"/>
        </w:rPr>
      </w:pPr>
      <w:bookmarkStart w:id="0" w:name="_GoBack"/>
      <w:bookmarkEnd w:id="0"/>
      <w:r>
        <w:rPr>
          <w:rFonts w:ascii="Museo Slab 500" w:hAnsi="Museo Slab 500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02701AC" wp14:editId="337809FD">
            <wp:simplePos x="0" y="0"/>
            <wp:positionH relativeFrom="margin">
              <wp:posOffset>6134100</wp:posOffset>
            </wp:positionH>
            <wp:positionV relativeFrom="paragraph">
              <wp:posOffset>-327660</wp:posOffset>
            </wp:positionV>
            <wp:extent cx="1048301" cy="90678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on_WL_200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01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2F9" w:rsidRPr="00D204FD">
        <w:rPr>
          <w:rFonts w:ascii="Museo Slab 500" w:hAnsi="Museo Slab 500"/>
          <w:sz w:val="32"/>
          <w:szCs w:val="32"/>
        </w:rPr>
        <w:t xml:space="preserve">What to Look for in the 2018 </w:t>
      </w:r>
      <w:r w:rsidR="00B552F9">
        <w:rPr>
          <w:rFonts w:ascii="Museo Slab 500" w:hAnsi="Museo Slab 500"/>
          <w:sz w:val="32"/>
          <w:szCs w:val="32"/>
        </w:rPr>
        <w:t>World Language</w:t>
      </w:r>
      <w:r w:rsidR="00B552F9" w:rsidRPr="00D204FD">
        <w:rPr>
          <w:rFonts w:ascii="Museo Slab 500" w:hAnsi="Museo Slab 500"/>
          <w:sz w:val="32"/>
          <w:szCs w:val="32"/>
        </w:rPr>
        <w:t xml:space="preserve"> Revision</w:t>
      </w:r>
    </w:p>
    <w:p w:rsidR="00497AA8" w:rsidRDefault="009D5720">
      <w:pPr>
        <w:rPr>
          <w:rFonts w:ascii="Trebuchet MS" w:hAnsi="Trebuchet MS"/>
          <w:sz w:val="24"/>
          <w:szCs w:val="24"/>
        </w:rPr>
      </w:pPr>
      <w:r w:rsidRPr="009D5720">
        <w:rPr>
          <w:rFonts w:ascii="Trebuchet MS" w:hAnsi="Trebuchet MS"/>
          <w:sz w:val="24"/>
          <w:szCs w:val="24"/>
        </w:rPr>
        <w:t>Improve Clarity and Alignment for the Discipline of World Languages</w:t>
      </w:r>
    </w:p>
    <w:p w:rsidR="00497AA8" w:rsidRDefault="00EA7515">
      <w:pPr>
        <w:rPr>
          <w:rFonts w:ascii="Trebuchet MS" w:hAnsi="Trebuchet MS"/>
          <w:sz w:val="24"/>
          <w:szCs w:val="24"/>
        </w:rPr>
      </w:pPr>
      <w:r w:rsidRPr="009D5720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360930" cy="3171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20" w:rsidRDefault="009D5720">
                            <w:r>
                              <w:t>The 2009</w:t>
                            </w:r>
                            <w:r w:rsidR="006F54FD">
                              <w:t>/2010</w:t>
                            </w:r>
                            <w:r>
                              <w:t xml:space="preserve"> World Language Standards organized </w:t>
                            </w:r>
                            <w:r w:rsidR="00F9214C">
                              <w:t>content into 4 main standards:  Communication, Cultures, Connections and Comparisons.  Within these standards conceptual learning was organized as evidence outcomes (EOs) under range level expectations (RLEs).</w:t>
                            </w:r>
                            <w:r w:rsidR="00EA7515">
                              <w:t xml:space="preserve">  In the 2020 Revised World Language Standards Cultures is revised to Cultures – Intercultural Communication.</w:t>
                            </w:r>
                          </w:p>
                          <w:p w:rsidR="00F8599A" w:rsidRDefault="00F8599A">
                            <w:r>
                              <w:t xml:space="preserve">Language under the </w:t>
                            </w:r>
                            <w:r w:rsidR="00481FE4">
                              <w:t>Evidence Outcomes are revised to align with the NCSSFL – ACTFL Can-Do Statements to provide key components that define the range level expectation.</w:t>
                            </w:r>
                          </w:p>
                          <w:p w:rsidR="000816F8" w:rsidRDefault="00081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5pt;width:185.9pt;height:249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" stroked="f">
                <v:textbox>
                  <w:txbxContent>
                    <w:p w:rsidR="009D5720" w:rsidRDefault="009D5720">
                      <w:r>
                        <w:t>The 2009</w:t>
                      </w:r>
                      <w:r w:rsidR="006F54FD">
                        <w:t>/2010</w:t>
                      </w:r>
                      <w:r>
                        <w:t xml:space="preserve"> World Language Standards organized </w:t>
                      </w:r>
                      <w:r w:rsidR="00F9214C">
                        <w:t>content into 4 main standards:  Communication, Cultures, Connections and Comparisons.  Within these standards conceptual learning was organized as evidence outcomes (EOs) under range level expectations (RLEs).</w:t>
                      </w:r>
                      <w:r w:rsidR="00EA7515">
                        <w:t xml:space="preserve">  In the 2020 Revised World Language Standards Cultures is revised to Cultures – Intercultural Communication.</w:t>
                      </w:r>
                    </w:p>
                    <w:p w:rsidR="00F8599A" w:rsidRDefault="00F8599A">
                      <w:r>
                        <w:t xml:space="preserve">Language under the </w:t>
                      </w:r>
                      <w:r w:rsidR="00481FE4">
                        <w:t>Evidence Outcomes are revised to align with the NCSSFL – ACTFL Can-Do Statements to provide key components that define the range level expectation.</w:t>
                      </w:r>
                    </w:p>
                    <w:p w:rsidR="000816F8" w:rsidRDefault="000816F8"/>
                  </w:txbxContent>
                </v:textbox>
                <w10:wrap type="square" anchorx="margin"/>
              </v:shape>
            </w:pict>
          </mc:Fallback>
        </mc:AlternateContent>
      </w:r>
      <w:r w:rsidR="0017041D" w:rsidRPr="00B552F9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3884295</wp:posOffset>
                </wp:positionV>
                <wp:extent cx="2360930" cy="4533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19" w:rsidRDefault="0017041D">
                            <w:r>
                              <w:t>The 21</w:t>
                            </w:r>
                            <w:r w:rsidRPr="0017041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Century Skills and Readiness Competencies was revised to </w:t>
                            </w:r>
                            <w:r w:rsidR="00E56981">
                              <w:t xml:space="preserve">the section of </w:t>
                            </w:r>
                            <w:r>
                              <w:t>Academic Context and Connections in order to capture the unique elements of language learning to create context for learning</w:t>
                            </w:r>
                            <w:r w:rsidR="00622D53">
                              <w:t xml:space="preserve">.  </w:t>
                            </w:r>
                            <w:r>
                              <w:t>These 2 sections highlight essential skills, practices and other important connections necessary for student to understand, apply and transfer the Range Level Expectations.</w:t>
                            </w:r>
                          </w:p>
                          <w:p w:rsidR="0017041D" w:rsidRDefault="00622D53">
                            <w:r>
                              <w:t xml:space="preserve">This section includes Colorado Essential Skills and Real-World Application.  The Colorado Essential Skills and Real World Application captures the usage of language that go beyond the classroom in producing global citizens for the ongoing demands of a </w:t>
                            </w:r>
                            <w:r w:rsidR="0017041D">
                              <w:t>workforce and post-secondary readiness.</w:t>
                            </w:r>
                          </w:p>
                          <w:p w:rsidR="00622D53" w:rsidRDefault="0017041D">
                            <w:r>
                              <w:t>Inquiry Questions were revised to better align with the NCCSSFL – ACTFL Can-Do Statements to promote goal setting and analysis of student learning within the range level expectation.</w:t>
                            </w:r>
                            <w:r w:rsidR="00622D53">
                              <w:t xml:space="preserve"> </w:t>
                            </w:r>
                          </w:p>
                          <w:p w:rsidR="00497AA8" w:rsidRDefault="00497AA8"/>
                          <w:p w:rsidR="00497AA8" w:rsidRDefault="00497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27.6pt;margin-top:305.85pt;width:185.9pt;height:357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SOIgIAACMEAAAOAAAAZHJzL2Uyb0RvYy54bWysU21v2yAQ/j5p/wHxfbHjJF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" stroked="f">
                <v:textbox>
                  <w:txbxContent>
                    <w:p w:rsidR="00D63619" w:rsidRDefault="0017041D">
                      <w:r>
                        <w:t>The 21</w:t>
                      </w:r>
                      <w:r w:rsidRPr="0017041D">
                        <w:rPr>
                          <w:vertAlign w:val="superscript"/>
                        </w:rPr>
                        <w:t>st</w:t>
                      </w:r>
                      <w:r>
                        <w:t xml:space="preserve"> Century Skills and Readiness Competencies was revised to </w:t>
                      </w:r>
                      <w:r w:rsidR="00E56981">
                        <w:t xml:space="preserve">the section of </w:t>
                      </w:r>
                      <w:r>
                        <w:t>Academic Context and Connections in order to capture the unique elements of language learning to create context for learning</w:t>
                      </w:r>
                      <w:r w:rsidR="00622D53">
                        <w:t xml:space="preserve">.  </w:t>
                      </w:r>
                      <w:r>
                        <w:t>These 2 sections highlight essential skills, practices and other important connections necessary for student to under</w:t>
                      </w:r>
                      <w:bookmarkStart w:id="1" w:name="_GoBack"/>
                      <w:r>
                        <w:t>stand, apply and transfer the Range Level Expectations.</w:t>
                      </w:r>
                    </w:p>
                    <w:p w:rsidR="0017041D" w:rsidRDefault="00622D53">
                      <w:r>
                        <w:t xml:space="preserve">This section includes Colorado Essential Skills and Real-World Application.  The Colorado Essential Skills and Real World Application captures the usage of language that go beyond the classroom in producing global citizens for the ongoing demands of a </w:t>
                      </w:r>
                      <w:r w:rsidR="0017041D">
                        <w:t>workforce and post-secondary readiness.</w:t>
                      </w:r>
                    </w:p>
                    <w:p w:rsidR="00622D53" w:rsidRDefault="0017041D">
                      <w:r>
                        <w:t>Inquiry Questions were revised to better align with the NCCSSFL – ACTFL Can-Do Statements to promote goal setting and analysis of student learning within the range level expectation.</w:t>
                      </w:r>
                      <w:r w:rsidR="00622D53">
                        <w:t xml:space="preserve"> </w:t>
                      </w:r>
                    </w:p>
                    <w:p w:rsidR="00497AA8" w:rsidRDefault="00497AA8"/>
                    <w:bookmarkEnd w:id="1"/>
                    <w:p w:rsidR="00497AA8" w:rsidRDefault="00497AA8"/>
                  </w:txbxContent>
                </v:textbox>
              </v:shape>
            </w:pict>
          </mc:Fallback>
        </mc:AlternateContent>
      </w:r>
      <w:r w:rsidR="00622D53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2823141</wp:posOffset>
            </wp:positionH>
            <wp:positionV relativeFrom="paragraph">
              <wp:posOffset>203835</wp:posOffset>
            </wp:positionV>
            <wp:extent cx="4259361" cy="268986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_e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857" cy="269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D53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-297181</wp:posOffset>
            </wp:positionH>
            <wp:positionV relativeFrom="paragraph">
              <wp:posOffset>3914775</wp:posOffset>
            </wp:positionV>
            <wp:extent cx="4200861" cy="324612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_contextconnectio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387" cy="325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AA8" w:rsidRPr="00497AA8" w:rsidRDefault="00497AA8" w:rsidP="00497AA8">
      <w:pPr>
        <w:rPr>
          <w:rFonts w:ascii="Trebuchet MS" w:hAnsi="Trebuchet MS"/>
          <w:sz w:val="24"/>
          <w:szCs w:val="24"/>
        </w:rPr>
      </w:pPr>
    </w:p>
    <w:p w:rsidR="00497AA8" w:rsidRPr="00497AA8" w:rsidRDefault="00497AA8" w:rsidP="00497AA8">
      <w:pPr>
        <w:rPr>
          <w:rFonts w:ascii="Trebuchet MS" w:hAnsi="Trebuchet MS"/>
          <w:sz w:val="24"/>
          <w:szCs w:val="24"/>
        </w:rPr>
      </w:pPr>
    </w:p>
    <w:p w:rsidR="00497AA8" w:rsidRPr="00497AA8" w:rsidRDefault="00497AA8" w:rsidP="00497AA8">
      <w:pPr>
        <w:rPr>
          <w:rFonts w:ascii="Trebuchet MS" w:hAnsi="Trebuchet MS"/>
          <w:sz w:val="24"/>
          <w:szCs w:val="24"/>
        </w:rPr>
      </w:pPr>
    </w:p>
    <w:p w:rsidR="00497AA8" w:rsidRPr="00497AA8" w:rsidRDefault="00497AA8" w:rsidP="00497AA8">
      <w:pPr>
        <w:rPr>
          <w:rFonts w:ascii="Trebuchet MS" w:hAnsi="Trebuchet MS"/>
          <w:sz w:val="24"/>
          <w:szCs w:val="24"/>
        </w:rPr>
      </w:pPr>
    </w:p>
    <w:p w:rsidR="00497AA8" w:rsidRPr="00497AA8" w:rsidRDefault="00497AA8" w:rsidP="00497AA8">
      <w:pPr>
        <w:rPr>
          <w:rFonts w:ascii="Trebuchet MS" w:hAnsi="Trebuchet MS"/>
          <w:sz w:val="24"/>
          <w:szCs w:val="24"/>
        </w:rPr>
      </w:pPr>
    </w:p>
    <w:p w:rsidR="00497AA8" w:rsidRPr="00497AA8" w:rsidRDefault="00497AA8" w:rsidP="00497AA8">
      <w:pPr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rPr>
          <w:rFonts w:ascii="Trebuchet MS" w:hAnsi="Trebuchet MS"/>
          <w:sz w:val="24"/>
          <w:szCs w:val="24"/>
        </w:rPr>
      </w:pPr>
    </w:p>
    <w:p w:rsidR="009D5720" w:rsidRDefault="009D5720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</w:p>
    <w:p w:rsidR="00497AA8" w:rsidRDefault="00497AA8" w:rsidP="00497AA8">
      <w:pPr>
        <w:rPr>
          <w:rFonts w:ascii="Museo Slab 500" w:hAnsi="Museo Slab 500"/>
          <w:sz w:val="32"/>
          <w:szCs w:val="32"/>
        </w:rPr>
      </w:pPr>
      <w:r>
        <w:rPr>
          <w:rFonts w:ascii="Museo Slab 500" w:hAnsi="Museo Slab 500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53E8E196" wp14:editId="28231C46">
            <wp:simplePos x="0" y="0"/>
            <wp:positionH relativeFrom="margin">
              <wp:posOffset>6021705</wp:posOffset>
            </wp:positionH>
            <wp:positionV relativeFrom="paragraph">
              <wp:posOffset>-266700</wp:posOffset>
            </wp:positionV>
            <wp:extent cx="1048301" cy="9067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on_WL_200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01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4FD">
        <w:rPr>
          <w:rFonts w:ascii="Museo Slab 500" w:hAnsi="Museo Slab 500"/>
          <w:sz w:val="32"/>
          <w:szCs w:val="32"/>
        </w:rPr>
        <w:t xml:space="preserve">What to Look for in the 2018 </w:t>
      </w:r>
      <w:r>
        <w:rPr>
          <w:rFonts w:ascii="Museo Slab 500" w:hAnsi="Museo Slab 500"/>
          <w:sz w:val="32"/>
          <w:szCs w:val="32"/>
        </w:rPr>
        <w:t>World Language</w:t>
      </w:r>
      <w:r w:rsidRPr="00D204FD">
        <w:rPr>
          <w:rFonts w:ascii="Museo Slab 500" w:hAnsi="Museo Slab 500"/>
          <w:sz w:val="32"/>
          <w:szCs w:val="32"/>
        </w:rPr>
        <w:t xml:space="preserve"> Revision</w:t>
      </w:r>
    </w:p>
    <w:p w:rsidR="00497AA8" w:rsidRDefault="00497AA8" w:rsidP="00497A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Wider Range of Proficiency Levels</w:t>
      </w:r>
    </w:p>
    <w:p w:rsidR="00497AA8" w:rsidRDefault="00497AA8" w:rsidP="00497AA8">
      <w:pPr>
        <w:rPr>
          <w:rFonts w:ascii="Museo Slab 500" w:hAnsi="Museo Slab 500"/>
          <w:sz w:val="32"/>
          <w:szCs w:val="32"/>
        </w:rPr>
      </w:pPr>
      <w:r w:rsidRPr="00192BE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FBB7DE" wp14:editId="15C97BF8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60930" cy="45948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9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8" w:rsidRDefault="00497AA8" w:rsidP="00497AA8">
                            <w:r>
                              <w:t>The 2009/2010 World Language Standards Proficiency Range ended at the Intermediate-Mid.</w:t>
                            </w:r>
                          </w:p>
                          <w:p w:rsidR="00497AA8" w:rsidRDefault="00497AA8" w:rsidP="00497AA8">
                            <w:r>
                              <w:t>Guided by public feedback, there was a lack of a continuum of proficiency levels for language development.  These issues were cited in a benchmarking report performed by the American Council on the Teaching of Foreign Languages, ACTFL.  The 2018 Review and Revision Committee reorganized the standards into a longer range of proficiency levels and included all 4 standards making it optimal for language development.  The Review and Revision Committee also clarified the language throughout the revised 2020 standards in the new proficiency range.</w:t>
                            </w:r>
                          </w:p>
                          <w:p w:rsidR="00497AA8" w:rsidRDefault="00497AA8" w:rsidP="00497AA8">
                            <w:r>
                              <w:t xml:space="preserve">The newest development of World Language Standards Range Levels includes Preschool, Intermediate-High, and Advanced-Low – now offering a complete spectrum allowing multiple entries and exit points for language learning and teaching. </w:t>
                            </w:r>
                          </w:p>
                          <w:p w:rsidR="00497AA8" w:rsidRDefault="00497AA8" w:rsidP="00497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BB7DE" id="_x0000_s1028" type="#_x0000_t202" style="position:absolute;margin-left:0;margin-top:3.6pt;width:185.9pt;height:361.8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8AIwIAACMEAAAOAAAAZHJzL2Uyb0RvYy54bWysU9uO2yAQfa/Uf0C8N3a8SZpYcVbbbFNV&#10;2l6k3X4AxjhGBYYCiZ1+/Q44m0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" stroked="f">
                <v:textbox>
                  <w:txbxContent>
                    <w:p w:rsidR="00497AA8" w:rsidRDefault="00497AA8" w:rsidP="00497AA8">
                      <w:r>
                        <w:t>The 2009/2010 World Language Standards Proficiency Range ended at the Intermediate-Mid.</w:t>
                      </w:r>
                    </w:p>
                    <w:p w:rsidR="00497AA8" w:rsidRDefault="00497AA8" w:rsidP="00497AA8">
                      <w:r>
                        <w:t>Guided by public feedback, there was a lack of a continuum of proficiency levels for language development.  These issues were cited in a benchmarking report performed by the American Council on the Teaching of Foreign Languages, ACTFL.  The 2018 Review and Revision Committee reorganized the standards into a longer range of proficiency levels and included all 4 standards making it optimal for language development.  The Review and Revision Committee also clarified the language throughout the revised 2020 standards in the new proficiency range.</w:t>
                      </w:r>
                    </w:p>
                    <w:p w:rsidR="00497AA8" w:rsidRDefault="00497AA8" w:rsidP="00497AA8">
                      <w:r>
                        <w:t xml:space="preserve">The newest development of World Language Standards Range Levels includes Preschool, Intermediate-High, and Advanced-Low – now offering a complete spectrum allowing multiple entries and exit points for language learning and teaching. </w:t>
                      </w:r>
                    </w:p>
                    <w:p w:rsidR="00497AA8" w:rsidRDefault="00497AA8" w:rsidP="00497AA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useo Slab 500" w:hAnsi="Museo Slab 500"/>
          <w:sz w:val="32"/>
          <w:szCs w:val="32"/>
        </w:rPr>
        <w:t xml:space="preserve">        </w:t>
      </w:r>
    </w:p>
    <w:p w:rsidR="00497AA8" w:rsidRPr="00497AA8" w:rsidRDefault="00497AA8" w:rsidP="00497AA8">
      <w:pPr>
        <w:jc w:val="right"/>
        <w:rPr>
          <w:rFonts w:ascii="Trebuchet MS" w:hAnsi="Trebuchet MS"/>
          <w:sz w:val="24"/>
          <w:szCs w:val="24"/>
        </w:rPr>
      </w:pPr>
      <w:r w:rsidRPr="001D030F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ED9F1F" wp14:editId="0FFE324B">
                <wp:simplePos x="0" y="0"/>
                <wp:positionH relativeFrom="margin">
                  <wp:posOffset>4629150</wp:posOffset>
                </wp:positionH>
                <wp:positionV relativeFrom="paragraph">
                  <wp:posOffset>4950460</wp:posOffset>
                </wp:positionV>
                <wp:extent cx="2514600" cy="3162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8" w:rsidRDefault="00497AA8" w:rsidP="00497AA8">
                            <w:r>
                              <w:t>Preschool Standards are all encompassing of all elements of the 4 standards.  For Example:  Standard 1 Communication, element 1.1, 1.2 and 1.3 are all in one element in the Preschool standard labeled 1+.  The element is encompassing all the elements appropriate for the Preschool language learner.  Natural progressions for the early language learner is the Novice-Low Range Level.</w:t>
                            </w:r>
                          </w:p>
                          <w:p w:rsidR="00497AA8" w:rsidRDefault="00497AA8" w:rsidP="00497AA8">
                            <w:r>
                              <w:t>Also new are Prepared Graduate statements specific for the Preschool language learner to prepare for Prepared Graduate statements beginning at Novice-Low.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D9F1F" id="_x0000_s1029" type="#_x0000_t202" style="position:absolute;left:0;text-align:left;margin-left:364.5pt;margin-top:389.8pt;width:198pt;height:24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" stroked="f">
                <v:textbox>
                  <w:txbxContent>
                    <w:p w:rsidR="00497AA8" w:rsidRDefault="00497AA8" w:rsidP="00497AA8">
                      <w:r>
                        <w:t>Preschool Standards are all encompassing of all elements of the 4 standards.  For Example:  Standard 1 Communication, element 1.1, 1.2 and 1.3 are all in one element in the Preschool standard labeled 1+.  The element is encompassing all the elements appropriate for the Preschool language learner.  Natural progressions for the early language learner is the Novice-Low Range Level.</w:t>
                      </w:r>
                    </w:p>
                    <w:p w:rsidR="00497AA8" w:rsidRDefault="00497AA8" w:rsidP="00497AA8">
                      <w:r>
                        <w:t>Also new are Prepared Graduate statements specific for the Preschool language learner to prepare for Prepared Graduate statements beginning at Novice-Low.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501658C" wp14:editId="51A19129">
            <wp:simplePos x="0" y="0"/>
            <wp:positionH relativeFrom="column">
              <wp:posOffset>28575</wp:posOffset>
            </wp:positionH>
            <wp:positionV relativeFrom="paragraph">
              <wp:posOffset>4438015</wp:posOffset>
            </wp:positionV>
            <wp:extent cx="4267200" cy="34124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preschoo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41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DE7DBC1" wp14:editId="22E66E21">
            <wp:simplePos x="0" y="0"/>
            <wp:positionH relativeFrom="column">
              <wp:posOffset>3135985</wp:posOffset>
            </wp:positionH>
            <wp:positionV relativeFrom="paragraph">
              <wp:posOffset>282574</wp:posOffset>
            </wp:positionV>
            <wp:extent cx="4035070" cy="3627083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_newcategori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911" cy="3629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AA8" w:rsidRPr="00497AA8" w:rsidSect="00B55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FD"/>
    <w:rsid w:val="00011A4C"/>
    <w:rsid w:val="000816F8"/>
    <w:rsid w:val="00135130"/>
    <w:rsid w:val="0017041D"/>
    <w:rsid w:val="00192BEF"/>
    <w:rsid w:val="001D030F"/>
    <w:rsid w:val="00411D58"/>
    <w:rsid w:val="004443C1"/>
    <w:rsid w:val="00481FE4"/>
    <w:rsid w:val="00497AA8"/>
    <w:rsid w:val="005C0D2A"/>
    <w:rsid w:val="005C3E1C"/>
    <w:rsid w:val="00622D53"/>
    <w:rsid w:val="006F54FD"/>
    <w:rsid w:val="008500E1"/>
    <w:rsid w:val="008E75B6"/>
    <w:rsid w:val="00996FFC"/>
    <w:rsid w:val="009D5720"/>
    <w:rsid w:val="00B43098"/>
    <w:rsid w:val="00B552F9"/>
    <w:rsid w:val="00B72E9C"/>
    <w:rsid w:val="00C74D12"/>
    <w:rsid w:val="00CD07F7"/>
    <w:rsid w:val="00D204FD"/>
    <w:rsid w:val="00D63619"/>
    <w:rsid w:val="00E56981"/>
    <w:rsid w:val="00EA7515"/>
    <w:rsid w:val="00F446CD"/>
    <w:rsid w:val="00F8599A"/>
    <w:rsid w:val="00F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D0AF-5FEB-4057-97A6-C4D91994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Lourdes (Lulu)</dc:creator>
  <cp:lastModifiedBy>Bruno, Joanna</cp:lastModifiedBy>
  <cp:revision>2</cp:revision>
  <cp:lastPrinted>2018-09-17T21:52:00Z</cp:lastPrinted>
  <dcterms:created xsi:type="dcterms:W3CDTF">2018-09-19T16:56:00Z</dcterms:created>
  <dcterms:modified xsi:type="dcterms:W3CDTF">2018-09-19T16:56:00Z</dcterms:modified>
</cp:coreProperties>
</file>