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Some General Resources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</w:t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hyperlink r:id="rId6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Disciplinary Literacy: The Basics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Shanahan on Literacy.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What is Disciplinary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?”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Video from NC State featuring Tim Shanahan.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hyperlink r:id="rId8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What is Disciplinary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?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Keys to Literacy.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The Importance of Disciplinary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”.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From Grand Valley State University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10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Disciplinary Literacy:  A Shift That Makes Sense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ASCD Express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Task, Text, and Talk:  Literacy for All Subjects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Educational Leadership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hyperlink r:id="rId12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16 Resources on Disciplinary Literacy Strategies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ASCD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hyperlink r:id="rId13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Three Directions for Disciplinary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Educational Leadership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hyperlink r:id="rId14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Disciplinary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Resources from Annenberg Learner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hyperlink r:id="rId15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Disciplinary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Resources from the CEEDAR Center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hyperlink r:id="rId16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Disciplinary Literacy Strategies in Content Area Classes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Cynthia Shanahan. International Literacy Association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17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The Case for Multiple Texts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Educational Leadership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18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Strategies for Teaching Complex Texts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ASCD Express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19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Teaching Science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Educational Leadership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20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How to Integrate Disciplinary Literacy into the Science Curriculum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21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The Reading and Writing of Arithmetic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ASCD Express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22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Field Notes:  Building Disciplinary Literacy with Digital Literacy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ASCD Express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line="276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23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ELLs, Visual Arts, and the High-Stakes Writing Monster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.” 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ASCD Express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Resources Specific to Dance and Drama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</w:t>
      </w:r>
      <w:hyperlink r:id="rId24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What are Disciplinary Literacies in Dance and Drama in the Elementary Grades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”?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rtl w:val="0"/>
        </w:rPr>
        <w:t xml:space="preserve">Resources Specific to Visual Arts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Buelow, S., Frambaugh-Kritzer, C., &amp; Au, C. (2018). </w:t>
      </w:r>
      <w:hyperlink r:id="rId25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Communicating like an artist: Disciplinary literacy instruction in elementary visual arts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Literacy Research and Instruction, 57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(3), 232.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Draper, R. J., &amp; Broomhead, G. P. (2010). </w:t>
      </w:r>
      <w:hyperlink r:id="rId26">
        <w:r w:rsidDel="00000000" w:rsidR="00000000" w:rsidRPr="00000000">
          <w:rPr>
            <w:rFonts w:ascii="Trebuchet MS" w:cs="Trebuchet MS" w:eastAsia="Trebuchet MS" w:hAnsi="Trebuchet MS"/>
            <w:i w:val="1"/>
            <w:color w:val="0000ff"/>
            <w:u w:val="single"/>
            <w:rtl w:val="0"/>
          </w:rPr>
          <w:t xml:space="preserve">(Re)imagining content-area literacy instruction</w:t>
        </w:r>
      </w:hyperlink>
      <w:hyperlink r:id="rId27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New York: Teachers College Press.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Jensen, A. P., &amp; Draper, R. J. (2015). </w:t>
      </w:r>
      <w:hyperlink r:id="rId28">
        <w:r w:rsidDel="00000000" w:rsidR="00000000" w:rsidRPr="00000000">
          <w:rPr>
            <w:rFonts w:ascii="Trebuchet MS" w:cs="Trebuchet MS" w:eastAsia="Trebuchet MS" w:hAnsi="Trebuchet MS"/>
            <w:i w:val="1"/>
            <w:color w:val="0000ff"/>
            <w:u w:val="single"/>
            <w:rtl w:val="0"/>
          </w:rPr>
          <w:t xml:space="preserve">Arts education and literacies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London: Routledge.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Marshall, J., &amp; D'Adamo, K. (2011). </w:t>
      </w:r>
      <w:hyperlink r:id="rId29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Art practice as research in the classroom: A new paradigm in art education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Art Education, 64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(5), 12-18.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McNiff, S. (2014). </w:t>
      </w:r>
      <w:hyperlink r:id="rId30">
        <w:r w:rsidDel="00000000" w:rsidR="00000000" w:rsidRPr="00000000">
          <w:rPr>
            <w:rFonts w:ascii="Trebuchet MS" w:cs="Trebuchet MS" w:eastAsia="Trebuchet MS" w:hAnsi="Trebuchet MS"/>
            <w:color w:val="0000ff"/>
            <w:u w:val="single"/>
            <w:rtl w:val="0"/>
          </w:rPr>
          <w:t xml:space="preserve">Art speaking for itself: Evidence that inspires and convinces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Journal of Applied Arts &amp; Health 5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(2), pp. 255-262.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ctivelylearn.com/post/disciplinary-literacy-science-curriculum" TargetMode="External"/><Relationship Id="rId22" Type="http://schemas.openxmlformats.org/officeDocument/2006/relationships/hyperlink" Target="http://www.ascd.org/ascd-express/vol12/1212-hackney.aspx" TargetMode="External"/><Relationship Id="rId21" Type="http://schemas.openxmlformats.org/officeDocument/2006/relationships/hyperlink" Target="http://www.ascd.org/ascd-express/vol12/1212-richard.aspx" TargetMode="External"/><Relationship Id="rId24" Type="http://schemas.openxmlformats.org/officeDocument/2006/relationships/hyperlink" Target="http://jolle.coe.uga.edu/wp-content/uploads/2015/04/Frambaugh-Kritzer-et-al2._Final.pdf" TargetMode="External"/><Relationship Id="rId23" Type="http://schemas.openxmlformats.org/officeDocument/2006/relationships/hyperlink" Target="http://www.ascd.org/ascd-express/vol12/1212-wills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larworks.gvsu.edu/cgi/viewcontent.cgi?article=1254&amp;context=colleagues" TargetMode="External"/><Relationship Id="rId26" Type="http://schemas.openxmlformats.org/officeDocument/2006/relationships/hyperlink" Target="https://www.tcpress.com/re-imagining-content-area-literacy-instruction-9780807751268" TargetMode="External"/><Relationship Id="rId25" Type="http://schemas.openxmlformats.org/officeDocument/2006/relationships/hyperlink" Target="https://www.tandfonline.com/doi/abs/10.1080/19388071.2018.1453896" TargetMode="External"/><Relationship Id="rId28" Type="http://schemas.openxmlformats.org/officeDocument/2006/relationships/hyperlink" Target="https://www.taylorfrancis.com/books/e/9781317614845" TargetMode="External"/><Relationship Id="rId27" Type="http://schemas.openxmlformats.org/officeDocument/2006/relationships/hyperlink" Target="https://www.tcpress.com/re-imagining-content-area-literacy-instruction-9780807751268" TargetMode="External"/><Relationship Id="rId5" Type="http://schemas.openxmlformats.org/officeDocument/2006/relationships/styles" Target="styles.xml"/><Relationship Id="rId6" Type="http://schemas.openxmlformats.org/officeDocument/2006/relationships/hyperlink" Target="http://shanahanonliteracy.com/blog/disciplinary-literacy-the-basics#sthash.irsOTSP3.dpbs" TargetMode="External"/><Relationship Id="rId29" Type="http://schemas.openxmlformats.org/officeDocument/2006/relationships/hyperlink" Target="https://salemstate.instructure.com/courses/810003/files/24626454/download" TargetMode="External"/><Relationship Id="rId7" Type="http://schemas.openxmlformats.org/officeDocument/2006/relationships/hyperlink" Target="https://youtu.be/fNSzK31V5lg" TargetMode="External"/><Relationship Id="rId8" Type="http://schemas.openxmlformats.org/officeDocument/2006/relationships/hyperlink" Target="https://keystoliteracy.com/blog/disciplinary-literacy/" TargetMode="External"/><Relationship Id="rId30" Type="http://schemas.openxmlformats.org/officeDocument/2006/relationships/hyperlink" Target="https://www.ingentaconnect.com/content/intellect/jaah/2014/00000005/00000002/art00011?crawler=true" TargetMode="External"/><Relationship Id="rId11" Type="http://schemas.openxmlformats.org/officeDocument/2006/relationships/hyperlink" Target="http://www.ascd.org/publications/educational-leadership/oct06/vol64/num02/Task,-Text,-and-Talk@-Literacy-for-All-Subjects.aspx" TargetMode="External"/><Relationship Id="rId10" Type="http://schemas.openxmlformats.org/officeDocument/2006/relationships/hyperlink" Target="http://www.ascd.org/ascd-express/vol12/1212-lent.aspx" TargetMode="External"/><Relationship Id="rId13" Type="http://schemas.openxmlformats.org/officeDocument/2006/relationships/hyperlink" Target="http://www.ascd.org/publications/educational-leadership/feb17/vol74/num05/Three-Directions-for-Disciplinary-Literacy.aspx" TargetMode="External"/><Relationship Id="rId12" Type="http://schemas.openxmlformats.org/officeDocument/2006/relationships/hyperlink" Target="http://inservice.ascd.org/16-resources-on-disciplinary-literacy-strategies/" TargetMode="External"/><Relationship Id="rId15" Type="http://schemas.openxmlformats.org/officeDocument/2006/relationships/hyperlink" Target="http://ceedar.education.ufl.edu/cems/disciplinary-literacy/" TargetMode="External"/><Relationship Id="rId14" Type="http://schemas.openxmlformats.org/officeDocument/2006/relationships/hyperlink" Target="https://www.learner.org/courses/readwrite/disciplinary-literacy/what-is-disciplinary-literacy/1.html" TargetMode="External"/><Relationship Id="rId17" Type="http://schemas.openxmlformats.org/officeDocument/2006/relationships/hyperlink" Target="http://www.ascd.org/publications/educational-leadership/feb17/vol74/num05/The-Case-for-Multiple-Texts.aspx" TargetMode="External"/><Relationship Id="rId16" Type="http://schemas.openxmlformats.org/officeDocument/2006/relationships/hyperlink" Target="https://education.ucf.edu/mirc/docs/Disciplinary-literacy-strategies-in-content-area-classes2015.pdf" TargetMode="External"/><Relationship Id="rId19" Type="http://schemas.openxmlformats.org/officeDocument/2006/relationships/hyperlink" Target="http://www.ascd.org/publications/educational-leadership/mar11/vol68/num06/Teaching-Science-Literacy.aspx" TargetMode="External"/><Relationship Id="rId18" Type="http://schemas.openxmlformats.org/officeDocument/2006/relationships/hyperlink" Target="http://www.ascd.org/ascd-express/vol12/1212-simm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