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A2" w:rsidRDefault="008F155B">
      <w:pPr>
        <w:spacing w:line="276" w:lineRule="auto"/>
        <w:jc w:val="center"/>
        <w:rPr>
          <w:rFonts w:ascii="Trebuchet MS" w:eastAsia="Trebuchet MS" w:hAnsi="Trebuchet MS" w:cs="Trebuchet MS"/>
          <w:b/>
        </w:rPr>
      </w:pPr>
      <w:r>
        <w:rPr>
          <w:rFonts w:ascii="Trebuchet MS" w:eastAsia="Trebuchet MS" w:hAnsi="Trebuchet MS" w:cs="Trebuchet MS"/>
          <w:b/>
        </w:rPr>
        <w:t>2020 Colorado Academic Standards Implement</w:t>
      </w:r>
      <w:r w:rsidR="00DF5AAC">
        <w:rPr>
          <w:rFonts w:ascii="Trebuchet MS" w:eastAsia="Trebuchet MS" w:hAnsi="Trebuchet MS" w:cs="Trebuchet MS"/>
          <w:b/>
        </w:rPr>
        <w:t xml:space="preserve">ation Professional Development </w:t>
      </w:r>
      <w:r>
        <w:rPr>
          <w:rFonts w:ascii="Trebuchet MS" w:eastAsia="Trebuchet MS" w:hAnsi="Trebuchet MS" w:cs="Trebuchet MS"/>
          <w:b/>
        </w:rPr>
        <w:t>Post-Assessment Questions</w:t>
      </w:r>
    </w:p>
    <w:p w:rsidR="00C760A2" w:rsidRDefault="008F155B">
      <w:pPr>
        <w:spacing w:line="276" w:lineRule="auto"/>
        <w:jc w:val="center"/>
        <w:rPr>
          <w:rFonts w:ascii="Trebuchet MS" w:eastAsia="Trebuchet MS" w:hAnsi="Trebuchet MS" w:cs="Trebuchet MS"/>
          <w:b/>
        </w:rPr>
      </w:pPr>
      <w:r>
        <w:rPr>
          <w:rFonts w:ascii="Trebuchet MS" w:eastAsia="Trebuchet MS" w:hAnsi="Trebuchet MS" w:cs="Trebuchet MS"/>
          <w:b/>
        </w:rPr>
        <w:t xml:space="preserve">Disciplinary Literacy:  Modules 1 &amp; 2 </w:t>
      </w:r>
    </w:p>
    <w:p w:rsidR="00B870CB" w:rsidRDefault="008F155B">
      <w:pPr>
        <w:spacing w:line="276" w:lineRule="auto"/>
        <w:rPr>
          <w:rFonts w:ascii="Trebuchet MS" w:eastAsia="Trebuchet MS" w:hAnsi="Trebuchet MS" w:cs="Trebuchet MS"/>
        </w:rPr>
      </w:pPr>
      <w:r>
        <w:rPr>
          <w:rFonts w:ascii="Trebuchet MS" w:eastAsia="Trebuchet MS" w:hAnsi="Trebuchet MS" w:cs="Trebuchet MS"/>
        </w:rPr>
        <w:t xml:space="preserve">School administrators may use the questions below as a post-assessment during the facilitation of the CDE 2020 Colorado Academic Standards Professional Learning Modules. To learn more about how to create your own Microsoft Form quiz and access the answers, view the short instructional video in Module 0 </w:t>
      </w:r>
      <w:r w:rsidR="00B870CB">
        <w:rPr>
          <w:rFonts w:ascii="Trebuchet MS" w:eastAsia="Trebuchet MS" w:hAnsi="Trebuchet MS" w:cs="Trebuchet MS"/>
        </w:rPr>
        <w:t>R</w:t>
      </w:r>
      <w:r>
        <w:rPr>
          <w:rFonts w:ascii="Trebuchet MS" w:eastAsia="Trebuchet MS" w:hAnsi="Trebuchet MS" w:cs="Trebuchet MS"/>
        </w:rPr>
        <w:t xml:space="preserve">esources. </w:t>
      </w:r>
    </w:p>
    <w:p w:rsidR="00C760A2" w:rsidRDefault="008F155B">
      <w:pPr>
        <w:spacing w:line="276" w:lineRule="auto"/>
        <w:rPr>
          <w:rFonts w:ascii="Trebuchet MS" w:eastAsia="Trebuchet MS" w:hAnsi="Trebuchet MS" w:cs="Trebuchet MS"/>
        </w:rPr>
      </w:pPr>
      <w:r>
        <w:rPr>
          <w:rFonts w:ascii="Trebuchet MS" w:eastAsia="Trebuchet MS" w:hAnsi="Trebuchet MS" w:cs="Trebuchet MS"/>
        </w:rPr>
        <w:t>Note:  Consider collaborating with instructional leadership to review and discuss responses to all short answers.</w:t>
      </w:r>
    </w:p>
    <w:p w:rsidR="00C760A2" w:rsidRDefault="008F155B">
      <w:pPr>
        <w:numPr>
          <w:ilvl w:val="0"/>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color w:val="000000"/>
        </w:rPr>
        <w:t>How do you define Disciplinary Literacy?</w:t>
      </w:r>
    </w:p>
    <w:p w:rsidR="00C760A2" w:rsidRDefault="008F155B">
      <w:pPr>
        <w:numPr>
          <w:ilvl w:val="1"/>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color w:val="000000"/>
        </w:rPr>
        <w:t>A term used by English teachers to describe how disciplined students are in reading and writing.</w:t>
      </w:r>
    </w:p>
    <w:p w:rsidR="00C760A2" w:rsidRDefault="008F155B">
      <w:pPr>
        <w:numPr>
          <w:ilvl w:val="1"/>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color w:val="000000"/>
        </w:rPr>
        <w:t>A curriculum aligned to elementary reading and writing standards.</w:t>
      </w:r>
    </w:p>
    <w:p w:rsidR="00C760A2" w:rsidRDefault="008F155B">
      <w:pPr>
        <w:numPr>
          <w:ilvl w:val="1"/>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color w:val="000000"/>
        </w:rPr>
        <w:t>A tool for teaching comprehension across the curriculum including building content knowledge, skills, and understanding.</w:t>
      </w:r>
    </w:p>
    <w:p w:rsidR="00C760A2" w:rsidRDefault="008F155B">
      <w:pPr>
        <w:numPr>
          <w:ilvl w:val="1"/>
          <w:numId w:val="1"/>
        </w:numPr>
        <w:pBdr>
          <w:top w:val="nil"/>
          <w:left w:val="nil"/>
          <w:bottom w:val="nil"/>
          <w:right w:val="nil"/>
          <w:between w:val="nil"/>
        </w:pBdr>
        <w:spacing w:after="0" w:line="276" w:lineRule="auto"/>
        <w:contextualSpacing/>
        <w:rPr>
          <w:rFonts w:ascii="Trebuchet MS" w:eastAsia="Trebuchet MS" w:hAnsi="Trebuchet MS" w:cs="Trebuchet MS"/>
        </w:rPr>
      </w:pPr>
      <w:r>
        <w:rPr>
          <w:rFonts w:ascii="Trebuchet MS" w:eastAsia="Trebuchet MS" w:hAnsi="Trebuchet MS" w:cs="Trebuchet MS"/>
          <w:color w:val="000000"/>
        </w:rPr>
        <w:t>An emphasis on knowledge and abilities possessed by those who create, communicate, and use knowledge within the disciplines.</w:t>
      </w:r>
      <w:r>
        <w:rPr>
          <w:rFonts w:ascii="Trebuchet MS" w:eastAsia="Trebuchet MS" w:hAnsi="Trebuchet MS" w:cs="Trebuchet MS"/>
        </w:rPr>
        <w:t xml:space="preserve"> </w:t>
      </w:r>
    </w:p>
    <w:p w:rsidR="00C760A2" w:rsidRDefault="00C760A2">
      <w:pPr>
        <w:pBdr>
          <w:top w:val="nil"/>
          <w:left w:val="nil"/>
          <w:bottom w:val="nil"/>
          <w:right w:val="nil"/>
          <w:between w:val="nil"/>
        </w:pBdr>
        <w:spacing w:after="0" w:line="276" w:lineRule="auto"/>
        <w:rPr>
          <w:rFonts w:ascii="Trebuchet MS" w:eastAsia="Trebuchet MS" w:hAnsi="Trebuchet MS" w:cs="Trebuchet MS"/>
        </w:rPr>
      </w:pPr>
    </w:p>
    <w:p w:rsidR="00C760A2" w:rsidRDefault="008F155B">
      <w:pPr>
        <w:numPr>
          <w:ilvl w:val="0"/>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color w:val="000000"/>
        </w:rPr>
        <w:t>Why is Disciplinary Literacy important?</w:t>
      </w:r>
    </w:p>
    <w:p w:rsidR="00C760A2" w:rsidRDefault="008F155B">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Because it provides a set of study tools and more generalizable strategies to grasp the meaning of a particular text.</w:t>
      </w:r>
    </w:p>
    <w:p w:rsidR="00C760A2" w:rsidRDefault="008F155B">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 xml:space="preserve">Because it invites students to engage in the academic discipline while developing a voice as a member of that community.  </w:t>
      </w:r>
    </w:p>
    <w:p w:rsidR="00C760A2" w:rsidRDefault="008F155B">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Because it invites students to demonstrate verbally and in writing, their understanding of the Colorado Academic Standards.</w:t>
      </w:r>
    </w:p>
    <w:p w:rsidR="00C760A2" w:rsidRPr="00B870CB" w:rsidRDefault="008F155B" w:rsidP="00B870CB">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Because it encourages educators to engage in cross-content and grade-levels teams.</w:t>
      </w:r>
    </w:p>
    <w:p w:rsidR="00C760A2" w:rsidRDefault="00C760A2">
      <w:pPr>
        <w:spacing w:after="0" w:line="276" w:lineRule="auto"/>
        <w:rPr>
          <w:rFonts w:ascii="Trebuchet MS" w:eastAsia="Trebuchet MS" w:hAnsi="Trebuchet MS" w:cs="Trebuchet MS"/>
        </w:rPr>
      </w:pPr>
      <w:bookmarkStart w:id="0" w:name="_GoBack"/>
      <w:bookmarkEnd w:id="0"/>
    </w:p>
    <w:p w:rsidR="00C760A2" w:rsidRDefault="008F155B">
      <w:pPr>
        <w:numPr>
          <w:ilvl w:val="0"/>
          <w:numId w:val="1"/>
        </w:numPr>
        <w:pBdr>
          <w:top w:val="nil"/>
          <w:left w:val="nil"/>
          <w:bottom w:val="nil"/>
          <w:right w:val="nil"/>
          <w:between w:val="nil"/>
        </w:pBdr>
        <w:spacing w:after="0" w:line="360" w:lineRule="auto"/>
        <w:contextualSpacing/>
        <w:rPr>
          <w:rFonts w:ascii="Trebuchet MS" w:eastAsia="Trebuchet MS" w:hAnsi="Trebuchet MS" w:cs="Trebuchet MS"/>
        </w:rPr>
      </w:pPr>
      <w:r>
        <w:rPr>
          <w:rFonts w:ascii="Trebuchet MS" w:eastAsia="Trebuchet MS" w:hAnsi="Trebuchet MS" w:cs="Trebuchet MS"/>
        </w:rPr>
        <w:t xml:space="preserve">Provide an example of disciplinary literacy practices in your content area. </w:t>
      </w: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8F155B">
      <w:pPr>
        <w:numPr>
          <w:ilvl w:val="0"/>
          <w:numId w:val="1"/>
        </w:numPr>
        <w:pBdr>
          <w:top w:val="nil"/>
          <w:left w:val="nil"/>
          <w:bottom w:val="nil"/>
          <w:right w:val="nil"/>
          <w:between w:val="nil"/>
        </w:pBdr>
        <w:spacing w:after="0" w:line="360" w:lineRule="auto"/>
        <w:contextualSpacing/>
        <w:rPr>
          <w:rFonts w:ascii="Trebuchet MS" w:eastAsia="Trebuchet MS" w:hAnsi="Trebuchet MS" w:cs="Trebuchet MS"/>
        </w:rPr>
      </w:pPr>
      <w:r>
        <w:rPr>
          <w:rFonts w:ascii="Trebuchet MS" w:eastAsia="Trebuchet MS" w:hAnsi="Trebuchet MS" w:cs="Trebuchet MS"/>
        </w:rPr>
        <w:t xml:space="preserve">How do you envision incorporating disciplinary literacy in your classroom? </w:t>
      </w: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8F155B">
      <w:pPr>
        <w:numPr>
          <w:ilvl w:val="0"/>
          <w:numId w:val="1"/>
        </w:numPr>
        <w:pBdr>
          <w:top w:val="nil"/>
          <w:left w:val="nil"/>
          <w:bottom w:val="nil"/>
          <w:right w:val="nil"/>
          <w:between w:val="nil"/>
        </w:pBdr>
        <w:spacing w:after="0" w:line="360" w:lineRule="auto"/>
        <w:contextualSpacing/>
        <w:rPr>
          <w:rFonts w:ascii="Trebuchet MS" w:eastAsia="Trebuchet MS" w:hAnsi="Trebuchet MS" w:cs="Trebuchet MS"/>
        </w:rPr>
      </w:pPr>
      <w:r>
        <w:rPr>
          <w:rFonts w:ascii="Trebuchet MS" w:eastAsia="Trebuchet MS" w:hAnsi="Trebuchet MS" w:cs="Trebuchet MS"/>
        </w:rPr>
        <w:t xml:space="preserve">What resources might you need to effectively incorporate disciplinary literacy in your classroom? </w:t>
      </w: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8F155B">
      <w:pPr>
        <w:numPr>
          <w:ilvl w:val="0"/>
          <w:numId w:val="1"/>
        </w:numPr>
        <w:pBdr>
          <w:top w:val="nil"/>
          <w:left w:val="nil"/>
          <w:bottom w:val="nil"/>
          <w:right w:val="nil"/>
          <w:between w:val="nil"/>
        </w:pBdr>
        <w:spacing w:after="0" w:line="360" w:lineRule="auto"/>
        <w:contextualSpacing/>
        <w:rPr>
          <w:rFonts w:ascii="Trebuchet MS" w:eastAsia="Trebuchet MS" w:hAnsi="Trebuchet MS" w:cs="Trebuchet MS"/>
        </w:rPr>
      </w:pPr>
      <w:r>
        <w:rPr>
          <w:rFonts w:ascii="Trebuchet MS" w:eastAsia="Trebuchet MS" w:hAnsi="Trebuchet MS" w:cs="Trebuchet MS"/>
        </w:rPr>
        <w:t xml:space="preserve">Define “text” and explain ways to incorporate texts in your classroom. </w:t>
      </w: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C760A2">
      <w:pPr>
        <w:pBdr>
          <w:top w:val="nil"/>
          <w:left w:val="nil"/>
          <w:bottom w:val="nil"/>
          <w:right w:val="nil"/>
          <w:between w:val="nil"/>
        </w:pBdr>
        <w:spacing w:after="0" w:line="360" w:lineRule="auto"/>
        <w:rPr>
          <w:rFonts w:ascii="Trebuchet MS" w:eastAsia="Trebuchet MS" w:hAnsi="Trebuchet MS" w:cs="Trebuchet MS"/>
        </w:rPr>
      </w:pPr>
    </w:p>
    <w:p w:rsidR="00C760A2" w:rsidRDefault="008F155B">
      <w:pPr>
        <w:numPr>
          <w:ilvl w:val="0"/>
          <w:numId w:val="1"/>
        </w:numPr>
        <w:pBdr>
          <w:top w:val="nil"/>
          <w:left w:val="nil"/>
          <w:bottom w:val="nil"/>
          <w:right w:val="nil"/>
          <w:between w:val="nil"/>
        </w:pBdr>
        <w:spacing w:after="0" w:line="360" w:lineRule="auto"/>
        <w:contextualSpacing/>
        <w:rPr>
          <w:rFonts w:ascii="Trebuchet MS" w:eastAsia="Trebuchet MS" w:hAnsi="Trebuchet MS" w:cs="Trebuchet MS"/>
        </w:rPr>
      </w:pPr>
      <w:r>
        <w:rPr>
          <w:rFonts w:ascii="Trebuchet MS" w:eastAsia="Trebuchet MS" w:hAnsi="Trebuchet MS" w:cs="Trebuchet MS"/>
        </w:rPr>
        <w:t xml:space="preserve">Give 3 to 5 examples of text you use in your classroom. </w:t>
      </w:r>
    </w:p>
    <w:p w:rsidR="00C760A2" w:rsidRDefault="00C760A2">
      <w:pPr>
        <w:pBdr>
          <w:top w:val="nil"/>
          <w:left w:val="nil"/>
          <w:bottom w:val="nil"/>
          <w:right w:val="nil"/>
          <w:between w:val="nil"/>
        </w:pBdr>
        <w:spacing w:after="0" w:line="276" w:lineRule="auto"/>
        <w:rPr>
          <w:rFonts w:ascii="Trebuchet MS" w:eastAsia="Trebuchet MS" w:hAnsi="Trebuchet MS" w:cs="Trebuchet MS"/>
        </w:rPr>
      </w:pPr>
    </w:p>
    <w:p w:rsidR="00C760A2" w:rsidRDefault="00C760A2">
      <w:pPr>
        <w:pBdr>
          <w:top w:val="nil"/>
          <w:left w:val="nil"/>
          <w:bottom w:val="nil"/>
          <w:right w:val="nil"/>
          <w:between w:val="nil"/>
        </w:pBdr>
        <w:spacing w:after="0" w:line="276" w:lineRule="auto"/>
        <w:ind w:left="720"/>
        <w:rPr>
          <w:rFonts w:ascii="Trebuchet MS" w:eastAsia="Trebuchet MS" w:hAnsi="Trebuchet MS" w:cs="Trebuchet MS"/>
        </w:rPr>
      </w:pPr>
    </w:p>
    <w:p w:rsidR="00C760A2" w:rsidRDefault="00C760A2">
      <w:pPr>
        <w:pBdr>
          <w:top w:val="nil"/>
          <w:left w:val="nil"/>
          <w:bottom w:val="nil"/>
          <w:right w:val="nil"/>
          <w:between w:val="nil"/>
        </w:pBdr>
        <w:spacing w:line="276" w:lineRule="auto"/>
        <w:ind w:left="1440" w:hanging="720"/>
        <w:rPr>
          <w:rFonts w:ascii="Trebuchet MS" w:eastAsia="Trebuchet MS" w:hAnsi="Trebuchet MS" w:cs="Trebuchet MS"/>
          <w:color w:val="000000"/>
        </w:rPr>
      </w:pPr>
    </w:p>
    <w:p w:rsidR="00C760A2" w:rsidRDefault="00C760A2">
      <w:pPr>
        <w:pBdr>
          <w:top w:val="nil"/>
          <w:left w:val="nil"/>
          <w:bottom w:val="nil"/>
          <w:right w:val="nil"/>
          <w:between w:val="nil"/>
        </w:pBdr>
        <w:spacing w:after="0" w:line="276" w:lineRule="auto"/>
        <w:rPr>
          <w:rFonts w:ascii="Trebuchet MS" w:eastAsia="Trebuchet MS" w:hAnsi="Trebuchet MS" w:cs="Trebuchet MS"/>
          <w:color w:val="000000"/>
        </w:rPr>
      </w:pPr>
    </w:p>
    <w:sectPr w:rsidR="00C760A2">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E6" w:rsidRDefault="009C72E6">
      <w:pPr>
        <w:spacing w:after="0" w:line="240" w:lineRule="auto"/>
      </w:pPr>
      <w:r>
        <w:separator/>
      </w:r>
    </w:p>
  </w:endnote>
  <w:endnote w:type="continuationSeparator" w:id="0">
    <w:p w:rsidR="009C72E6" w:rsidRDefault="009C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A2" w:rsidRDefault="00C76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E6" w:rsidRDefault="009C72E6">
      <w:pPr>
        <w:spacing w:after="0" w:line="240" w:lineRule="auto"/>
      </w:pPr>
      <w:r>
        <w:separator/>
      </w:r>
    </w:p>
  </w:footnote>
  <w:footnote w:type="continuationSeparator" w:id="0">
    <w:p w:rsidR="009C72E6" w:rsidRDefault="009C7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A2" w:rsidRDefault="00C760A2">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A2" w:rsidRDefault="008F155B">
    <w:pPr>
      <w:jc w:val="center"/>
    </w:pPr>
    <w:r>
      <w:rPr>
        <w:noProof/>
      </w:rPr>
      <w:drawing>
        <wp:inline distT="114300" distB="114300" distL="114300" distR="114300">
          <wp:extent cx="5715000" cy="2109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15000" cy="21097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4E50"/>
    <w:multiLevelType w:val="multilevel"/>
    <w:tmpl w:val="253CF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0A2"/>
    <w:rsid w:val="008F155B"/>
    <w:rsid w:val="009C72E6"/>
    <w:rsid w:val="00B870CB"/>
    <w:rsid w:val="00C760A2"/>
    <w:rsid w:val="00D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3</cp:revision>
  <dcterms:created xsi:type="dcterms:W3CDTF">2018-09-19T16:08:00Z</dcterms:created>
  <dcterms:modified xsi:type="dcterms:W3CDTF">2018-09-19T18:35:00Z</dcterms:modified>
</cp:coreProperties>
</file>