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434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4.3254376931"/>
        <w:gridCol w:w="4917.83728115345"/>
        <w:gridCol w:w="4917.83728115345"/>
        <w:tblGridChange w:id="0">
          <w:tblGrid>
            <w:gridCol w:w="4504.3254376931"/>
            <w:gridCol w:w="4917.83728115345"/>
            <w:gridCol w:w="4917.83728115345"/>
          </w:tblGrid>
        </w:tblGridChange>
      </w:tblGrid>
      <w:tr>
        <w:trPr>
          <w:cantSplit w:val="0"/>
          <w:trHeight w:val="765" w:hRule="atLeast"/>
          <w:tblHeader w:val="0"/>
        </w:trPr>
        <w:tc>
          <w:tcPr>
            <w:gridSpan w:val="3"/>
            <w:tcBorders>
              <w:top w:color="000000" w:space="0" w:sz="8" w:val="single"/>
              <w:left w:color="000000" w:space="0" w:sz="8" w:val="single"/>
              <w:bottom w:color="000000" w:space="0" w:sz="8" w:val="single"/>
              <w:right w:color="000000"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02">
            <w:pPr>
              <w:pageBreakBefore w:val="0"/>
              <w:ind w:right="-80"/>
              <w:rPr>
                <w:b w:val="1"/>
                <w:color w:val="ffffff"/>
                <w:sz w:val="28"/>
                <w:szCs w:val="28"/>
              </w:rPr>
            </w:pPr>
            <w:r w:rsidDel="00000000" w:rsidR="00000000" w:rsidRPr="00000000">
              <w:rPr>
                <w:b w:val="1"/>
                <w:color w:val="ffffff"/>
                <w:sz w:val="28"/>
                <w:szCs w:val="28"/>
                <w:rtl w:val="0"/>
              </w:rPr>
              <w:t xml:space="preserve">Landscape Report (Color Code) </w:t>
            </w:r>
          </w:p>
        </w:tc>
      </w:tr>
      <w:tr>
        <w:trPr>
          <w:cantSplit w:val="0"/>
          <w:trHeight w:val="7380" w:hRule="atLeast"/>
          <w:tblHeader w:val="0"/>
        </w:trPr>
        <w:tc>
          <w:tcPr>
            <w:tcBorders>
              <w:top w:color="5c6670" w:space="0" w:sz="8" w:val="single"/>
              <w:left w:color="5c6670" w:space="0" w:sz="8" w:val="single"/>
              <w:bottom w:color="5c6670" w:space="0" w:sz="8" w:val="single"/>
              <w:right w:color="5c6670" w:space="0" w:sz="8" w:val="single"/>
            </w:tcBorders>
            <w:tcMar>
              <w:top w:w="100.0" w:type="dxa"/>
              <w:left w:w="100.0" w:type="dxa"/>
              <w:bottom w:w="100.0" w:type="dxa"/>
              <w:right w:w="100.0" w:type="dxa"/>
            </w:tcMar>
            <w:vAlign w:val="top"/>
          </w:tcPr>
          <w:p w:rsidR="00000000" w:rsidDel="00000000" w:rsidP="00000000" w:rsidRDefault="00000000" w:rsidRPr="00000000" w14:paraId="00000005">
            <w:pPr>
              <w:ind w:right="-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Domain 1: Leadership for Rapid School Improvement. School leadership focuses strongly on instruction, implements a mission-driven cycle of continuous improvement, and ensures the school functions as an equitable and agile learning organization.</w:t>
            </w:r>
          </w:p>
          <w:p w:rsidR="00000000" w:rsidDel="00000000" w:rsidP="00000000" w:rsidRDefault="00000000" w:rsidRPr="00000000" w14:paraId="00000006">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 Vision and Mission.</w:t>
            </w:r>
          </w:p>
          <w:p w:rsidR="00000000" w:rsidDel="00000000" w:rsidP="00000000" w:rsidRDefault="00000000" w:rsidRPr="00000000" w14:paraId="00000007">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Continuous Improvement.</w:t>
            </w:r>
          </w:p>
          <w:p w:rsidR="00000000" w:rsidDel="00000000" w:rsidP="00000000" w:rsidRDefault="00000000" w:rsidRPr="00000000" w14:paraId="00000008">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1.3. Instructional Relationship.</w:t>
            </w:r>
          </w:p>
          <w:p w:rsidR="00000000" w:rsidDel="00000000" w:rsidP="00000000" w:rsidRDefault="00000000" w:rsidRPr="00000000" w14:paraId="00000009">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 Influence for Results.  </w:t>
            </w:r>
          </w:p>
          <w:p w:rsidR="00000000" w:rsidDel="00000000" w:rsidP="00000000" w:rsidRDefault="00000000" w:rsidRPr="00000000" w14:paraId="0000000A">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0B">
            <w:pPr>
              <w:ind w:right="-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Domain 2: Talent Development</w:t>
            </w:r>
            <w:r w:rsidDel="00000000" w:rsidR="00000000" w:rsidRPr="00000000">
              <w:rPr>
                <w:rFonts w:ascii="Calibri" w:cs="Calibri" w:eastAsia="Calibri" w:hAnsi="Calibri"/>
                <w:sz w:val="18"/>
                <w:szCs w:val="18"/>
                <w:rtl w:val="0"/>
              </w:rPr>
              <w:t xml:space="preserve">. School leadership</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sustains a diverse and high-quality professional staff through inclusive and equitable talent development structures and a commitment to continuous improvement</w:t>
            </w:r>
            <w:r w:rsidDel="00000000" w:rsidR="00000000" w:rsidRPr="00000000">
              <w:rPr>
                <w:rFonts w:ascii="Calibri" w:cs="Calibri" w:eastAsia="Calibri" w:hAnsi="Calibri"/>
                <w:b w:val="1"/>
                <w:sz w:val="18"/>
                <w:szCs w:val="18"/>
                <w:rtl w:val="0"/>
              </w:rPr>
              <w:t xml:space="preserve">.</w:t>
            </w:r>
          </w:p>
          <w:p w:rsidR="00000000" w:rsidDel="00000000" w:rsidP="00000000" w:rsidRDefault="00000000" w:rsidRPr="00000000" w14:paraId="0000000C">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2.1. Recruitment and Retention.</w:t>
            </w:r>
          </w:p>
          <w:p w:rsidR="00000000" w:rsidDel="00000000" w:rsidP="00000000" w:rsidRDefault="00000000" w:rsidRPr="00000000" w14:paraId="0000000D">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 Professional Development.</w:t>
            </w:r>
          </w:p>
          <w:p w:rsidR="00000000" w:rsidDel="00000000" w:rsidP="00000000" w:rsidRDefault="00000000" w:rsidRPr="00000000" w14:paraId="0000000E">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 Evaluation.</w:t>
            </w:r>
          </w:p>
          <w:p w:rsidR="00000000" w:rsidDel="00000000" w:rsidP="00000000" w:rsidRDefault="00000000" w:rsidRPr="00000000" w14:paraId="0000000F">
            <w:pPr>
              <w:ind w:right="-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0">
            <w:pPr>
              <w:ind w:right="-1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5c6670" w:space="0" w:sz="8" w:val="single"/>
              <w:left w:color="000000" w:space="0" w:sz="0" w:val="nil"/>
              <w:bottom w:color="5c6670" w:space="0" w:sz="8" w:val="single"/>
              <w:right w:color="5c6670" w:space="0" w:sz="8" w:val="single"/>
            </w:tcBorders>
            <w:tcMar>
              <w:top w:w="100.0" w:type="dxa"/>
              <w:left w:w="100.0" w:type="dxa"/>
              <w:bottom w:w="100.0" w:type="dxa"/>
              <w:right w:w="100.0" w:type="dxa"/>
            </w:tcMar>
            <w:vAlign w:val="top"/>
          </w:tcPr>
          <w:p w:rsidR="00000000" w:rsidDel="00000000" w:rsidP="00000000" w:rsidRDefault="00000000" w:rsidRPr="00000000" w14:paraId="00000011">
            <w:pPr>
              <w:ind w:right="-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Domain 3: Instructional Transformation. The school implements a curriculum that is aligned to Colorado Academic Standards, provides evidenced-based instruction that engages students cognitively, uses multiple assessments and analysis cycles to continuously measure student progress toward mastery of grade-level expectations, and implements a comprehensive system of tiered academic and behavioral support to enable students to master grade-level expectations.</w:t>
            </w:r>
          </w:p>
          <w:p w:rsidR="00000000" w:rsidDel="00000000" w:rsidP="00000000" w:rsidRDefault="00000000" w:rsidRPr="00000000" w14:paraId="00000012">
            <w:pPr>
              <w:ind w:right="-8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3.1. Vision for Instruction.</w:t>
            </w:r>
          </w:p>
          <w:p w:rsidR="00000000" w:rsidDel="00000000" w:rsidP="00000000" w:rsidRDefault="00000000" w:rsidRPr="00000000" w14:paraId="00000013">
            <w:pPr>
              <w:ind w:right="-1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3.2. Assessment Systems and Data Culture</w:t>
            </w:r>
          </w:p>
          <w:p w:rsidR="00000000" w:rsidDel="00000000" w:rsidP="00000000" w:rsidRDefault="00000000" w:rsidRPr="00000000" w14:paraId="00000014">
            <w:pPr>
              <w:ind w:right="-1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3.3. Systems for Student Support.</w:t>
            </w:r>
          </w:p>
          <w:p w:rsidR="00000000" w:rsidDel="00000000" w:rsidP="00000000" w:rsidRDefault="00000000" w:rsidRPr="00000000" w14:paraId="00000015">
            <w:pPr>
              <w:ind w:right="-1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3.4. Time Allocation</w:t>
            </w:r>
          </w:p>
          <w:p w:rsidR="00000000" w:rsidDel="00000000" w:rsidP="00000000" w:rsidRDefault="00000000" w:rsidRPr="00000000" w14:paraId="0000001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1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18">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Domain 4: Culture and Climate Shift. The school establishes and sustains a mission-driven, inclusive, and highly effective culture and climate that promotes belonging and shared ownership.</w:t>
            </w:r>
          </w:p>
          <w:p w:rsidR="00000000" w:rsidDel="00000000" w:rsidP="00000000" w:rsidRDefault="00000000" w:rsidRPr="00000000" w14:paraId="00000019">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4.1. Family and Stakeholder Engagement.</w:t>
            </w:r>
          </w:p>
          <w:p w:rsidR="00000000" w:rsidDel="00000000" w:rsidP="00000000" w:rsidRDefault="00000000" w:rsidRPr="00000000" w14:paraId="0000001A">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4.2. Engaging Learning Environment.</w:t>
            </w:r>
          </w:p>
          <w:p w:rsidR="00000000" w:rsidDel="00000000" w:rsidP="00000000" w:rsidRDefault="00000000" w:rsidRPr="00000000" w14:paraId="0000001B">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6.3. Positive and Inclusive School Climate.</w:t>
            </w:r>
          </w:p>
          <w:p w:rsidR="00000000" w:rsidDel="00000000" w:rsidP="00000000" w:rsidRDefault="00000000" w:rsidRPr="00000000" w14:paraId="0000001C">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1D">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c>
          <w:tcPr>
            <w:tcBorders>
              <w:top w:color="5c6670" w:space="0" w:sz="8" w:val="single"/>
              <w:left w:color="000000" w:space="0" w:sz="0" w:val="nil"/>
              <w:bottom w:color="5c6670" w:space="0" w:sz="8" w:val="single"/>
              <w:right w:color="5c6670"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Standard 9 – Strong Board Governance. The school board demonstrates strong leadership through its procedures to promote the school’s mission,  strategic planning, current knowledge of legislative issues, policy development, commitment to professional development, provision of resources, oversight/support of administrator, ability to build effective committees, and establishing networked community relationships.</w:t>
            </w:r>
          </w:p>
          <w:p w:rsidR="00000000" w:rsidDel="00000000" w:rsidP="00000000" w:rsidRDefault="00000000" w:rsidRPr="00000000" w14:paraId="0000001F">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9.a. Vision/Mission and Governance Structure</w:t>
            </w:r>
          </w:p>
          <w:p w:rsidR="00000000" w:rsidDel="00000000" w:rsidP="00000000" w:rsidRDefault="00000000" w:rsidRPr="00000000" w14:paraId="00000020">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9.b. Strategic Governance</w:t>
            </w:r>
          </w:p>
          <w:p w:rsidR="00000000" w:rsidDel="00000000" w:rsidP="00000000" w:rsidRDefault="00000000" w:rsidRPr="00000000" w14:paraId="00000021">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9.c. Policies and Legal </w:t>
            </w:r>
          </w:p>
          <w:p w:rsidR="00000000" w:rsidDel="00000000" w:rsidP="00000000" w:rsidRDefault="00000000" w:rsidRPr="00000000" w14:paraId="00000022">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9.d. Professional Development</w:t>
            </w:r>
          </w:p>
          <w:p w:rsidR="00000000" w:rsidDel="00000000" w:rsidP="00000000" w:rsidRDefault="00000000" w:rsidRPr="00000000" w14:paraId="00000023">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9.e. Program Assessment, Guidance and Renewal</w:t>
            </w:r>
          </w:p>
          <w:p w:rsidR="00000000" w:rsidDel="00000000" w:rsidP="00000000" w:rsidRDefault="00000000" w:rsidRPr="00000000" w14:paraId="00000024">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9.f. Administrative Hiring and Evaluation</w:t>
            </w:r>
          </w:p>
          <w:p w:rsidR="00000000" w:rsidDel="00000000" w:rsidP="00000000" w:rsidRDefault="00000000" w:rsidRPr="00000000" w14:paraId="00000025">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9.g. Meetings and Committees  </w:t>
            </w:r>
          </w:p>
          <w:p w:rsidR="00000000" w:rsidDel="00000000" w:rsidP="00000000" w:rsidRDefault="00000000" w:rsidRPr="00000000" w14:paraId="00000026">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9.h. Stakeholder Management</w:t>
            </w:r>
          </w:p>
          <w:p w:rsidR="00000000" w:rsidDel="00000000" w:rsidP="00000000" w:rsidRDefault="00000000" w:rsidRPr="00000000" w14:paraId="00000027">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28">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Standard 10: Sound Fiscal Management. The school board demonstrates strong fiscal management and school practices demonstrate current and future financial health.</w:t>
            </w:r>
          </w:p>
          <w:p w:rsidR="00000000" w:rsidDel="00000000" w:rsidP="00000000" w:rsidRDefault="00000000" w:rsidRPr="00000000" w14:paraId="00000029">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10.a. Strong Budget</w:t>
            </w:r>
          </w:p>
          <w:p w:rsidR="00000000" w:rsidDel="00000000" w:rsidP="00000000" w:rsidRDefault="00000000" w:rsidRPr="00000000" w14:paraId="0000002A">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10.b. Revenue</w:t>
            </w:r>
          </w:p>
          <w:p w:rsidR="00000000" w:rsidDel="00000000" w:rsidP="00000000" w:rsidRDefault="00000000" w:rsidRPr="00000000" w14:paraId="0000002B">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10.c. Program Cost</w:t>
            </w:r>
          </w:p>
          <w:p w:rsidR="00000000" w:rsidDel="00000000" w:rsidP="00000000" w:rsidRDefault="00000000" w:rsidRPr="00000000" w14:paraId="0000002C">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10.d Report Requirements</w:t>
            </w:r>
          </w:p>
          <w:p w:rsidR="00000000" w:rsidDel="00000000" w:rsidP="00000000" w:rsidRDefault="00000000" w:rsidRPr="00000000" w14:paraId="0000002D">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10.e. Board Responsibilities </w:t>
            </w:r>
          </w:p>
          <w:p w:rsidR="00000000" w:rsidDel="00000000" w:rsidP="00000000" w:rsidRDefault="00000000" w:rsidRPr="00000000" w14:paraId="0000002E">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10.f. Policies</w:t>
            </w:r>
          </w:p>
          <w:p w:rsidR="00000000" w:rsidDel="00000000" w:rsidP="00000000" w:rsidRDefault="00000000" w:rsidRPr="00000000" w14:paraId="0000002F">
            <w:pPr>
              <w:ind w:right="-14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10.g. Business Operations</w:t>
            </w:r>
          </w:p>
          <w:p w:rsidR="00000000" w:rsidDel="00000000" w:rsidP="00000000" w:rsidRDefault="00000000" w:rsidRPr="00000000" w14:paraId="00000030">
            <w:pPr>
              <w:ind w:right="-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r>
    </w:tbl>
    <w:p w:rsidR="00000000" w:rsidDel="00000000" w:rsidP="00000000" w:rsidRDefault="00000000" w:rsidRPr="00000000" w14:paraId="00000031">
      <w:pPr>
        <w:pageBreakBefore w:val="0"/>
        <w:rPr>
          <w:i w:val="1"/>
        </w:rPr>
      </w:pPr>
      <w:r w:rsidDel="00000000" w:rsidR="00000000" w:rsidRPr="00000000">
        <w:rPr>
          <w:i w:val="1"/>
          <w:rtl w:val="0"/>
        </w:rPr>
        <w:t xml:space="preserve"> </w:t>
      </w:r>
    </w:p>
    <w:p w:rsidR="00000000" w:rsidDel="00000000" w:rsidP="00000000" w:rsidRDefault="00000000" w:rsidRPr="00000000" w14:paraId="00000032">
      <w:pPr>
        <w:pageBreakBefore w:val="0"/>
        <w:ind w:left="0" w:firstLine="0"/>
        <w:rPr>
          <w:i w:val="1"/>
          <w:shd w:fill="fff2cc" w:val="clear"/>
        </w:rPr>
      </w:pPr>
      <w:r w:rsidDel="00000000" w:rsidR="00000000" w:rsidRPr="00000000">
        <w:rPr>
          <w:rtl w:val="0"/>
        </w:rPr>
      </w:r>
    </w:p>
    <w:p w:rsidR="00000000" w:rsidDel="00000000" w:rsidP="00000000" w:rsidRDefault="00000000" w:rsidRPr="00000000" w14:paraId="00000033">
      <w:pPr>
        <w:pageBreakBefore w:val="0"/>
        <w:ind w:left="0" w:firstLine="0"/>
        <w:rPr>
          <w:i w:val="1"/>
        </w:rPr>
      </w:pPr>
      <w:r w:rsidDel="00000000" w:rsidR="00000000" w:rsidRPr="00000000">
        <w:rPr>
          <w:rtl w:val="0"/>
        </w:rPr>
      </w:r>
    </w:p>
    <w:p w:rsidR="00000000" w:rsidDel="00000000" w:rsidP="00000000" w:rsidRDefault="00000000" w:rsidRPr="00000000" w14:paraId="00000034">
      <w:pPr>
        <w:pageBreakBefore w:val="0"/>
        <w:ind w:left="0" w:firstLine="0"/>
        <w:rPr>
          <w:i w:val="1"/>
        </w:rPr>
      </w:pPr>
      <w:r w:rsidDel="00000000" w:rsidR="00000000" w:rsidRPr="00000000">
        <w:rPr>
          <w:rtl w:val="0"/>
        </w:rPr>
      </w:r>
    </w:p>
    <w:p w:rsidR="00000000" w:rsidDel="00000000" w:rsidP="00000000" w:rsidRDefault="00000000" w:rsidRPr="00000000" w14:paraId="00000035">
      <w:pPr>
        <w:pageBreakBefore w:val="0"/>
        <w:ind w:left="0" w:firstLine="0"/>
        <w:rPr>
          <w:i w:val="1"/>
        </w:rPr>
      </w:pPr>
      <w:r w:rsidDel="00000000" w:rsidR="00000000" w:rsidRPr="00000000">
        <w:rPr>
          <w:rtl w:val="0"/>
        </w:rPr>
      </w:r>
    </w:p>
    <w:tbl>
      <w:tblPr>
        <w:tblStyle w:val="Table2"/>
        <w:tblW w:w="14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11985"/>
        <w:tblGridChange w:id="0">
          <w:tblGrid>
            <w:gridCol w:w="2370"/>
            <w:gridCol w:w="11985"/>
          </w:tblGrid>
        </w:tblGridChange>
      </w:tblGrid>
      <w:tr>
        <w:trPr>
          <w:cantSplit w:val="0"/>
          <w:trHeight w:val="740" w:hRule="atLeast"/>
          <w:tblHeader w:val="0"/>
        </w:trPr>
        <w:tc>
          <w:tcPr>
            <w:gridSpan w:val="2"/>
            <w:tcBorders>
              <w:top w:color="000000" w:space="0" w:sz="8" w:val="single"/>
              <w:left w:color="000000" w:space="0" w:sz="8" w:val="single"/>
              <w:bottom w:color="000000" w:space="0" w:sz="8" w:val="single"/>
              <w:right w:color="000000"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36">
            <w:pPr>
              <w:pStyle w:val="Heading3"/>
              <w:pageBreakBefore w:val="0"/>
              <w:rPr>
                <w:b w:val="1"/>
                <w:color w:val="ffffff"/>
              </w:rPr>
            </w:pPr>
            <w:bookmarkStart w:colFirst="0" w:colLast="0" w:name="_ns2cxi6abtdg" w:id="0"/>
            <w:bookmarkEnd w:id="0"/>
            <w:r w:rsidDel="00000000" w:rsidR="00000000" w:rsidRPr="00000000">
              <w:rPr>
                <w:b w:val="1"/>
                <w:color w:val="ffffff"/>
                <w:rtl w:val="0"/>
              </w:rPr>
              <w:t xml:space="preserve">Strengths to Leverage in School Improvement  </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Domain 1 Leadership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Domain 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Talent Development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Domain 3</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Instructional Transformation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numPr>
                <w:ilvl w:val="0"/>
                <w:numId w:val="4"/>
              </w:numPr>
              <w:ind w:left="720" w:hanging="360"/>
            </w:pPr>
            <w:r w:rsidDel="00000000" w:rsidR="00000000" w:rsidRPr="00000000">
              <w:rPr>
                <w:rtl w:val="0"/>
              </w:rPr>
              <w:t xml:space="preserve"> </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Domain 4</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Culture &amp; Climate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Standards 9 &amp; 10 Governance and Finance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45">
      <w:pPr>
        <w:pageBreakBefore w:val="0"/>
        <w:rPr/>
      </w:pPr>
      <w:r w:rsidDel="00000000" w:rsidR="00000000" w:rsidRPr="00000000">
        <w:rPr>
          <w:rtl w:val="0"/>
        </w:rPr>
        <w:t xml:space="preserve">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3"/>
        <w:tblW w:w="14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1715"/>
        <w:tblGridChange w:id="0">
          <w:tblGrid>
            <w:gridCol w:w="2475"/>
            <w:gridCol w:w="1171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666666" w:val="clear"/>
          </w:tcPr>
          <w:p w:rsidR="00000000" w:rsidDel="00000000" w:rsidP="00000000" w:rsidRDefault="00000000" w:rsidRPr="00000000" w14:paraId="00000055">
            <w:pPr>
              <w:rPr>
                <w:b w:val="1"/>
                <w:color w:val="ffffff"/>
                <w:sz w:val="28"/>
                <w:szCs w:val="28"/>
              </w:rPr>
            </w:pPr>
            <w:r w:rsidDel="00000000" w:rsidR="00000000" w:rsidRPr="00000000">
              <w:rPr>
                <w:b w:val="1"/>
                <w:color w:val="ffffff"/>
                <w:sz w:val="28"/>
                <w:szCs w:val="28"/>
                <w:rtl w:val="0"/>
              </w:rPr>
              <w:t xml:space="preserve">Prioritization: Four Domains of Rapid School Improvement </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rPr>
                <w:sz w:val="20"/>
                <w:szCs w:val="20"/>
              </w:rPr>
            </w:pPr>
            <w:r w:rsidDel="00000000" w:rsidR="00000000" w:rsidRPr="00000000">
              <w:rPr>
                <w:sz w:val="20"/>
                <w:szCs w:val="20"/>
                <w:rtl w:val="0"/>
              </w:rPr>
              <w:t xml:space="preserve">What are the most pressing priority performance challenges?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rPr>
                <w:sz w:val="20"/>
                <w:szCs w:val="20"/>
              </w:rPr>
            </w:pPr>
            <w:r w:rsidDel="00000000" w:rsidR="00000000" w:rsidRPr="00000000">
              <w:rPr>
                <w:sz w:val="20"/>
                <w:szCs w:val="20"/>
                <w:rtl w:val="0"/>
              </w:rPr>
              <w:t xml:space="preserve"> What are the areas of root cause? Don’t stop until you get to the final root! </w:t>
            </w:r>
          </w:p>
          <w:p w:rsidR="00000000" w:rsidDel="00000000" w:rsidP="00000000" w:rsidRDefault="00000000" w:rsidRPr="00000000" w14:paraId="0000005A">
            <w:pPr>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*Stay rooted in the criteria; refer to the team’s findings.</w:t>
            </w:r>
            <w:r w:rsidDel="00000000" w:rsidR="00000000" w:rsidRPr="00000000">
              <w:rPr>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rPr>
                <w:sz w:val="20"/>
                <w:szCs w:val="20"/>
              </w:rPr>
            </w:pPr>
            <w:r w:rsidDel="00000000" w:rsidR="00000000" w:rsidRPr="00000000">
              <w:rPr>
                <w:sz w:val="20"/>
                <w:szCs w:val="20"/>
                <w:rtl w:val="0"/>
              </w:rPr>
              <w:t xml:space="preserve">Which root cause areas should they address urgently and why?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rPr>
                <w:sz w:val="20"/>
                <w:szCs w:val="20"/>
              </w:rPr>
            </w:pPr>
            <w:r w:rsidDel="00000000" w:rsidR="00000000" w:rsidRPr="00000000">
              <w:rPr>
                <w:sz w:val="20"/>
                <w:szCs w:val="20"/>
                <w:rtl w:val="0"/>
              </w:rPr>
              <w:t xml:space="preserve">What 2-3 key levers/improvement strategies would best address these prioritized areas and why? What is most likely to result in dramatic change? Why?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b w:val="1"/>
          <w:color w:val="ffffff"/>
          <w:sz w:val="28"/>
          <w:szCs w:val="28"/>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 </w:t>
      </w:r>
    </w:p>
    <w:tbl>
      <w:tblPr>
        <w:tblStyle w:val="Table4"/>
        <w:tblW w:w="14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1715"/>
        <w:tblGridChange w:id="0">
          <w:tblGrid>
            <w:gridCol w:w="2475"/>
            <w:gridCol w:w="1171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666666" w:val="clear"/>
          </w:tcPr>
          <w:p w:rsidR="00000000" w:rsidDel="00000000" w:rsidP="00000000" w:rsidRDefault="00000000" w:rsidRPr="00000000" w14:paraId="00000068">
            <w:pPr>
              <w:rPr>
                <w:b w:val="1"/>
                <w:color w:val="ffffff"/>
                <w:sz w:val="28"/>
                <w:szCs w:val="28"/>
              </w:rPr>
            </w:pPr>
            <w:r w:rsidDel="00000000" w:rsidR="00000000" w:rsidRPr="00000000">
              <w:rPr>
                <w:b w:val="1"/>
                <w:color w:val="ffffff"/>
                <w:sz w:val="28"/>
                <w:szCs w:val="28"/>
                <w:rtl w:val="0"/>
              </w:rPr>
              <w:t xml:space="preserve">Prioritization: Standards 9 and 10: Sound Governance and Finance Practices</w:t>
            </w:r>
          </w:p>
        </w:tc>
      </w:tr>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rPr>
                <w:sz w:val="20"/>
                <w:szCs w:val="20"/>
              </w:rPr>
            </w:pPr>
            <w:r w:rsidDel="00000000" w:rsidR="00000000" w:rsidRPr="00000000">
              <w:rPr>
                <w:sz w:val="20"/>
                <w:szCs w:val="20"/>
                <w:rtl w:val="0"/>
              </w:rPr>
              <w:t xml:space="preserve">What are the most pressing priority performance challenges?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rPr>
                <w:sz w:val="20"/>
                <w:szCs w:val="20"/>
              </w:rPr>
            </w:pPr>
            <w:r w:rsidDel="00000000" w:rsidR="00000000" w:rsidRPr="00000000">
              <w:rPr>
                <w:sz w:val="20"/>
                <w:szCs w:val="20"/>
                <w:rtl w:val="0"/>
              </w:rPr>
              <w:t xml:space="preserve"> What are the areas of root cause? Don’t stop until you get to the final root! </w:t>
            </w:r>
          </w:p>
          <w:p w:rsidR="00000000" w:rsidDel="00000000" w:rsidP="00000000" w:rsidRDefault="00000000" w:rsidRPr="00000000" w14:paraId="0000006D">
            <w:pPr>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*Stay rooted in the criteria; refer to the team’s findings.</w:t>
            </w:r>
            <w:r w:rsidDel="00000000" w:rsidR="00000000" w:rsidRPr="00000000">
              <w:rPr>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rPr>
                <w:sz w:val="20"/>
                <w:szCs w:val="20"/>
              </w:rPr>
            </w:pPr>
            <w:r w:rsidDel="00000000" w:rsidR="00000000" w:rsidRPr="00000000">
              <w:rPr>
                <w:sz w:val="20"/>
                <w:szCs w:val="20"/>
                <w:rtl w:val="0"/>
              </w:rPr>
              <w:t xml:space="preserve">Which root cause areas should they address urgently and why?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rPr/>
            </w:pPr>
            <w:r w:rsidDel="00000000" w:rsidR="00000000" w:rsidRPr="00000000">
              <w:rPr>
                <w:rtl w:val="0"/>
              </w:rPr>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rPr>
                <w:sz w:val="20"/>
                <w:szCs w:val="20"/>
              </w:rPr>
            </w:pPr>
            <w:r w:rsidDel="00000000" w:rsidR="00000000" w:rsidRPr="00000000">
              <w:rPr>
                <w:sz w:val="20"/>
                <w:szCs w:val="20"/>
                <w:rtl w:val="0"/>
              </w:rPr>
              <w:t xml:space="preserve">What 2-3 key levers/improvement strategies would best address these prioritized areas and why? What is most likely to result in dramatic change? Why?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(Optional)</w:t>
      </w:r>
    </w:p>
    <w:p w:rsidR="00000000" w:rsidDel="00000000" w:rsidP="00000000" w:rsidRDefault="00000000" w:rsidRPr="00000000" w14:paraId="0000007F">
      <w:pPr>
        <w:pageBreakBefore w:val="0"/>
        <w:rPr/>
      </w:pPr>
      <w:r w:rsidDel="00000000" w:rsidR="00000000" w:rsidRPr="00000000">
        <w:rPr>
          <w:rtl w:val="0"/>
        </w:rPr>
      </w:r>
    </w:p>
    <w:tbl>
      <w:tblPr>
        <w:tblStyle w:val="Table5"/>
        <w:tblW w:w="14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285"/>
        <w:gridCol w:w="5325"/>
        <w:tblGridChange w:id="0">
          <w:tblGrid>
            <w:gridCol w:w="2775"/>
            <w:gridCol w:w="6285"/>
            <w:gridCol w:w="5325"/>
          </w:tblGrid>
        </w:tblGridChange>
      </w:tblGrid>
      <w:tr>
        <w:trPr>
          <w:cantSplit w:val="0"/>
          <w:trHeight w:val="480" w:hRule="atLeast"/>
          <w:tblHeader w:val="0"/>
        </w:trPr>
        <w:tc>
          <w:tcPr>
            <w:gridSpan w:val="3"/>
            <w:tcBorders>
              <w:top w:color="000000" w:space="0" w:sz="8" w:val="single"/>
              <w:left w:color="000000" w:space="0" w:sz="8" w:val="single"/>
              <w:bottom w:color="000000" w:space="0" w:sz="8" w:val="single"/>
              <w:right w:color="000000"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color w:val="ffffff"/>
                <w:sz w:val="28"/>
                <w:szCs w:val="28"/>
              </w:rPr>
            </w:pPr>
            <w:r w:rsidDel="00000000" w:rsidR="00000000" w:rsidRPr="00000000">
              <w:rPr>
                <w:b w:val="1"/>
                <w:color w:val="ffffff"/>
                <w:sz w:val="28"/>
                <w:szCs w:val="28"/>
                <w:rtl w:val="0"/>
              </w:rPr>
              <w:t xml:space="preserve">Theory of Action</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Improvement  Strategy #1</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pageBreakBefore w:val="0"/>
              <w:widowControl w:val="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Rationale:</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7">
            <w:pPr>
              <w:pageBreakBefore w:val="0"/>
              <w:widowControl w:val="0"/>
              <w:rPr/>
            </w:pPr>
            <w:r w:rsidDel="00000000" w:rsidR="00000000" w:rsidRPr="00000000">
              <w:rPr>
                <w:rtl w:val="0"/>
              </w:rPr>
            </w:r>
          </w:p>
        </w:tc>
      </w:tr>
      <w:tr>
        <w:trPr>
          <w:cantSplit w:val="0"/>
          <w:trHeight w:val="420"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b w:val="1"/>
              </w:rPr>
            </w:pPr>
            <w:r w:rsidDel="00000000" w:rsidR="00000000" w:rsidRPr="00000000">
              <w:rPr>
                <w:b w:val="1"/>
                <w:rtl w:val="0"/>
              </w:rPr>
              <w:t xml:space="preserve">Key Practices/Recommendations: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b w:val="1"/>
              </w:rPr>
            </w:pPr>
            <w:r w:rsidDel="00000000" w:rsidR="00000000" w:rsidRPr="00000000">
              <w:rPr>
                <w:b w:val="1"/>
                <w:rtl w:val="0"/>
              </w:rPr>
              <w:t xml:space="preserve">Timeline</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Action Step</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Resources</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ind w:left="1440" w:firstLine="0"/>
              <w:rPr/>
            </w:pP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ind w:left="1440" w:firstLine="0"/>
              <w:rPr/>
            </w:pP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ind w:left="1440" w:firstLine="0"/>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rPr>
            </w:pPr>
            <w:r w:rsidDel="00000000" w:rsidR="00000000" w:rsidRPr="00000000">
              <w:rPr>
                <w:b w:val="1"/>
                <w:rtl w:val="0"/>
              </w:rPr>
              <w:t xml:space="preserve">Improvement  Strategy #2</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9">
            <w:pPr>
              <w:pageBreakBefore w:val="0"/>
              <w:widowControl w:val="0"/>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b w:val="1"/>
              </w:rPr>
            </w:pPr>
            <w:r w:rsidDel="00000000" w:rsidR="00000000" w:rsidRPr="00000000">
              <w:rPr>
                <w:b w:val="1"/>
                <w:rtl w:val="0"/>
              </w:rPr>
              <w:t xml:space="preserve">Rationale:</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C">
            <w:pPr>
              <w:pageBreakBefore w:val="0"/>
              <w:widowControl w:val="0"/>
              <w:rPr/>
            </w:pPr>
            <w:r w:rsidDel="00000000" w:rsidR="00000000" w:rsidRPr="00000000">
              <w:rPr>
                <w:rtl w:val="0"/>
              </w:rPr>
            </w:r>
          </w:p>
        </w:tc>
      </w:tr>
      <w:tr>
        <w:trPr>
          <w:cantSplit w:val="0"/>
          <w:trHeight w:val="740" w:hRule="atLeast"/>
          <w:tblHeader w:val="0"/>
        </w:trPr>
        <w:tc>
          <w:tcPr>
            <w:gridSpan w:val="3"/>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b w:val="1"/>
              </w:rPr>
            </w:pPr>
            <w:r w:rsidDel="00000000" w:rsidR="00000000" w:rsidRPr="00000000">
              <w:rPr>
                <w:b w:val="1"/>
                <w:rtl w:val="0"/>
              </w:rPr>
              <w:t xml:space="preserve">Key Practices/Recommendations:</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rPr>
                <w:b w:val="1"/>
              </w:rPr>
            </w:pPr>
            <w:r w:rsidDel="00000000" w:rsidR="00000000" w:rsidRPr="00000000">
              <w:rPr>
                <w:b w:val="1"/>
                <w:rtl w:val="0"/>
              </w:rPr>
              <w:t xml:space="preserve">Timeline</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ind w:left="1440" w:firstLine="0"/>
              <w:rPr>
                <w:b w:val="1"/>
              </w:rPr>
            </w:pPr>
            <w:r w:rsidDel="00000000" w:rsidR="00000000" w:rsidRPr="00000000">
              <w:rPr>
                <w:b w:val="1"/>
                <w:rtl w:val="0"/>
              </w:rPr>
              <w:t xml:space="preserve">Action Step</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ind w:left="1440" w:firstLine="0"/>
              <w:rPr>
                <w:b w:val="1"/>
              </w:rPr>
            </w:pPr>
            <w:r w:rsidDel="00000000" w:rsidR="00000000" w:rsidRPr="00000000">
              <w:rPr>
                <w:b w:val="1"/>
                <w:rtl w:val="0"/>
              </w:rPr>
              <w:t xml:space="preserve">Resources</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ind w:left="1440" w:firstLine="0"/>
              <w:rPr/>
            </w:pP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ind w:left="1440" w:firstLine="0"/>
              <w:rPr/>
            </w:pPr>
            <w:r w:rsidDel="00000000" w:rsidR="00000000" w:rsidRPr="00000000">
              <w:rPr>
                <w:rtl w:val="0"/>
              </w:rPr>
            </w:r>
          </w:p>
        </w:tc>
      </w:tr>
    </w:tbl>
    <w:p w:rsidR="00000000" w:rsidDel="00000000" w:rsidP="00000000" w:rsidRDefault="00000000" w:rsidRPr="00000000" w14:paraId="000000AA">
      <w:pPr>
        <w:pageBreakBefore w:val="0"/>
        <w:rPr/>
      </w:pPr>
      <w:r w:rsidDel="00000000" w:rsidR="00000000" w:rsidRPr="00000000">
        <w:rPr>
          <w:rtl w:val="0"/>
        </w:rPr>
        <w:t xml:space="preserve">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 </w:t>
      </w:r>
    </w:p>
    <w:p w:rsidR="00000000" w:rsidDel="00000000" w:rsidP="00000000" w:rsidRDefault="00000000" w:rsidRPr="00000000" w14:paraId="000000AF">
      <w:pPr>
        <w:pageBreakBefore w:val="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