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3C" w:rsidRDefault="0043339C">
      <w:pPr>
        <w:rPr>
          <w:rFonts w:ascii="Trebuchet MS" w:eastAsia="Trebuchet MS" w:hAnsi="Trebuchet MS" w:cs="Trebuchet MS"/>
        </w:rPr>
      </w:pPr>
      <w:bookmarkStart w:id="0" w:name="_GoBack"/>
      <w:bookmarkEnd w:id="0"/>
      <w:r>
        <w:rPr>
          <w:rFonts w:ascii="Trebuchet MS" w:eastAsia="Trebuchet MS" w:hAnsi="Trebuchet MS" w:cs="Trebuchet MS"/>
        </w:rPr>
        <w:t>Name: ___________________________________              Date: ______________</w:t>
      </w:r>
    </w:p>
    <w:p w:rsidR="0062323C" w:rsidRDefault="0062323C">
      <w:pPr>
        <w:rPr>
          <w:rFonts w:ascii="Trebuchet MS" w:eastAsia="Trebuchet MS" w:hAnsi="Trebuchet MS" w:cs="Trebuchet MS"/>
        </w:rPr>
      </w:pPr>
    </w:p>
    <w:p w:rsidR="0062323C" w:rsidRDefault="0043339C">
      <w:pPr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Standards Implementation</w:t>
      </w:r>
    </w:p>
    <w:p w:rsidR="0062323C" w:rsidRDefault="0043339C">
      <w:pPr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Module 16: Implementing Best, First Instruction:</w:t>
      </w:r>
    </w:p>
    <w:p w:rsidR="0062323C" w:rsidRDefault="0043339C">
      <w:pPr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Planning for and Reflecting on Best, First Instruction Part II</w:t>
      </w:r>
    </w:p>
    <w:p w:rsidR="0062323C" w:rsidRDefault="0062323C">
      <w:pPr>
        <w:spacing w:line="240" w:lineRule="auto"/>
        <w:jc w:val="center"/>
        <w:rPr>
          <w:rFonts w:ascii="Trebuchet MS" w:eastAsia="Trebuchet MS" w:hAnsi="Trebuchet MS" w:cs="Trebuchet MS"/>
        </w:rPr>
      </w:pPr>
    </w:p>
    <w:p w:rsidR="0062323C" w:rsidRDefault="0043339C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Goals &amp; Objectives:</w:t>
      </w:r>
    </w:p>
    <w:p w:rsidR="0062323C" w:rsidRDefault="0043339C">
      <w:p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000000"/>
        </w:rPr>
        <w:t>Educators will be able to:</w:t>
      </w:r>
    </w:p>
    <w:p w:rsidR="0062323C" w:rsidRDefault="004333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2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Combine their understandings of the standards and high impact instructional strategies to develop interactive learning opportunities.</w:t>
      </w:r>
    </w:p>
    <w:p w:rsidR="0062323C" w:rsidRDefault="004333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2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>Reflect on their current method of instructional planning in comparison to a content and studen</w:t>
      </w:r>
      <w:r>
        <w:rPr>
          <w:rFonts w:ascii="Trebuchet MS" w:eastAsia="Trebuchet MS" w:hAnsi="Trebuchet MS" w:cs="Trebuchet MS"/>
          <w:color w:val="000000"/>
        </w:rPr>
        <w:t>t focused instructional planning process.</w:t>
      </w:r>
    </w:p>
    <w:p w:rsidR="0062323C" w:rsidRDefault="004333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2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Work with the </w:t>
      </w:r>
      <w:r>
        <w:rPr>
          <w:rFonts w:ascii="Trebuchet MS" w:eastAsia="Trebuchet MS" w:hAnsi="Trebuchet MS" w:cs="Trebuchet MS"/>
          <w:i/>
          <w:color w:val="000000"/>
        </w:rPr>
        <w:t>Sample Instructional Planning Process Guide</w:t>
      </w:r>
      <w:r>
        <w:rPr>
          <w:rFonts w:ascii="Trebuchet MS" w:eastAsia="Trebuchet MS" w:hAnsi="Trebuchet MS" w:cs="Trebuchet MS"/>
          <w:color w:val="000000"/>
        </w:rPr>
        <w:t xml:space="preserve"> to help make visible the “invisible thinking” which teachers may utilize to provide students with opportunities to demonstrate student learning demands of t</w:t>
      </w:r>
      <w:r>
        <w:rPr>
          <w:rFonts w:ascii="Trebuchet MS" w:eastAsia="Trebuchet MS" w:hAnsi="Trebuchet MS" w:cs="Trebuchet MS"/>
          <w:color w:val="000000"/>
        </w:rPr>
        <w:t>he standards.</w:t>
      </w:r>
    </w:p>
    <w:p w:rsidR="0062323C" w:rsidRDefault="0062323C">
      <w:pPr>
        <w:rPr>
          <w:rFonts w:ascii="Trebuchet MS" w:eastAsia="Trebuchet MS" w:hAnsi="Trebuchet MS" w:cs="Trebuchet MS"/>
          <w:color w:val="333333"/>
          <w:highlight w:val="white"/>
        </w:rPr>
      </w:pPr>
    </w:p>
    <w:p w:rsidR="0062323C" w:rsidRDefault="0043339C">
      <w:pPr>
        <w:rPr>
          <w:rFonts w:ascii="Trebuchet MS" w:eastAsia="Trebuchet MS" w:hAnsi="Trebuchet MS" w:cs="Trebuchet MS"/>
          <w:highlight w:val="white"/>
        </w:rPr>
      </w:pPr>
      <w:r>
        <w:rPr>
          <w:rFonts w:ascii="Trebuchet MS" w:eastAsia="Trebuchet MS" w:hAnsi="Trebuchet MS" w:cs="Trebuchet MS"/>
          <w:highlight w:val="white"/>
          <w:u w:val="single"/>
        </w:rPr>
        <w:t>Disciplinary Literacy:</w:t>
      </w:r>
    </w:p>
    <w:p w:rsidR="0062323C" w:rsidRDefault="004333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rFonts w:ascii="Trebuchet MS" w:eastAsia="Trebuchet MS" w:hAnsi="Trebuchet MS" w:cs="Trebuchet MS"/>
          <w:color w:val="000000"/>
          <w:highlight w:val="white"/>
        </w:rPr>
        <w:t>Close reading</w:t>
      </w:r>
    </w:p>
    <w:p w:rsidR="0062323C" w:rsidRDefault="004333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rFonts w:ascii="Trebuchet MS" w:eastAsia="Trebuchet MS" w:hAnsi="Trebuchet MS" w:cs="Trebuchet MS"/>
          <w:color w:val="000000"/>
          <w:highlight w:val="white"/>
        </w:rPr>
        <w:t>Speaking for understanding in content-areas</w:t>
      </w:r>
    </w:p>
    <w:p w:rsidR="0062323C" w:rsidRDefault="004333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highlight w:val="white"/>
        </w:rPr>
      </w:pPr>
      <w:r>
        <w:rPr>
          <w:rFonts w:ascii="Trebuchet MS" w:eastAsia="Trebuchet MS" w:hAnsi="Trebuchet MS" w:cs="Trebuchet MS"/>
          <w:color w:val="000000"/>
          <w:highlight w:val="white"/>
        </w:rPr>
        <w:t>Writing in discipline-specific ways</w:t>
      </w:r>
    </w:p>
    <w:p w:rsidR="0062323C" w:rsidRDefault="0062323C">
      <w:pPr>
        <w:rPr>
          <w:rFonts w:ascii="Trebuchet MS" w:eastAsia="Trebuchet MS" w:hAnsi="Trebuchet MS" w:cs="Trebuchet MS"/>
        </w:rPr>
      </w:pPr>
    </w:p>
    <w:p w:rsidR="0062323C" w:rsidRDefault="0043339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 xml:space="preserve">I. Student Focused Instructional Planning Process </w:t>
      </w:r>
    </w:p>
    <w:p w:rsidR="0062323C" w:rsidRDefault="0043339C">
      <w:pPr>
        <w:spacing w:after="12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Consider your current instructional planning process and answer the questions below:</w:t>
      </w:r>
    </w:p>
    <w:p w:rsidR="0062323C" w:rsidRDefault="004333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How does their current instructional planning reflect the inclusion of the skills </w:t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</w:rPr>
        <w:t>students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should be demonstrating? </w:t>
      </w: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4333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u w:val="single"/>
        </w:rPr>
        <w:t>Example: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If students are to be “evaluating primary so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urces …” what will instruction need to look like in order for the students to be </w:t>
      </w:r>
      <w:r>
        <w:rPr>
          <w:rFonts w:ascii="Trebuchet MS" w:eastAsia="Trebuchet MS" w:hAnsi="Trebuchet MS" w:cs="Trebuchet MS"/>
          <w:color w:val="000000"/>
          <w:sz w:val="24"/>
          <w:szCs w:val="24"/>
          <w:u w:val="single"/>
        </w:rPr>
        <w:t>doing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an evaluation of primary sources?</w:t>
      </w: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2323C">
        <w:tc>
          <w:tcPr>
            <w:tcW w:w="9350" w:type="dxa"/>
          </w:tcPr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</w:tbl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4333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u w:val="single"/>
        </w:rPr>
        <w:lastRenderedPageBreak/>
        <w:t xml:space="preserve">II. </w:t>
      </w:r>
      <w:proofErr w:type="gramStart"/>
      <w:r>
        <w:rPr>
          <w:rFonts w:ascii="Trebuchet MS" w:eastAsia="Trebuchet MS" w:hAnsi="Trebuchet MS" w:cs="Trebuchet MS"/>
          <w:color w:val="000000"/>
          <w:sz w:val="24"/>
          <w:szCs w:val="24"/>
          <w:u w:val="single"/>
        </w:rPr>
        <w:t>The</w:t>
      </w:r>
      <w:proofErr w:type="gramEnd"/>
      <w:r>
        <w:rPr>
          <w:rFonts w:ascii="Trebuchet MS" w:eastAsia="Trebuchet MS" w:hAnsi="Trebuchet MS" w:cs="Trebuchet MS"/>
          <w:color w:val="000000"/>
          <w:sz w:val="24"/>
          <w:szCs w:val="24"/>
          <w:u w:val="single"/>
        </w:rPr>
        <w:t xml:space="preserve"> Instructional Planning Process pg.4:</w:t>
      </w:r>
    </w:p>
    <w:p w:rsidR="0062323C" w:rsidRDefault="0043339C">
      <w:pPr>
        <w:tabs>
          <w:tab w:val="left" w:pos="7725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Read and write a response to questions #1 and #2. </w:t>
      </w:r>
    </w:p>
    <w:p w:rsidR="0062323C" w:rsidRDefault="0062323C">
      <w:pPr>
        <w:tabs>
          <w:tab w:val="left" w:pos="7725"/>
        </w:tabs>
        <w:rPr>
          <w:rFonts w:ascii="Trebuchet MS" w:eastAsia="Trebuchet MS" w:hAnsi="Trebuchet MS" w:cs="Trebuchet MS"/>
        </w:rPr>
      </w:pPr>
    </w:p>
    <w:tbl>
      <w:tblPr>
        <w:tblStyle w:val="a0"/>
        <w:tblW w:w="1107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70"/>
      </w:tblGrid>
      <w:tr w:rsidR="0062323C">
        <w:tc>
          <w:tcPr>
            <w:tcW w:w="11070" w:type="dxa"/>
          </w:tcPr>
          <w:p w:rsidR="0062323C" w:rsidRDefault="004333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How do you envision the “Post Lesson Reflection” changing due to you reflecting while engaged in the planning/decision making process?</w:t>
            </w:r>
          </w:p>
          <w:p w:rsidR="0062323C" w:rsidRDefault="0062323C">
            <w:pPr>
              <w:tabs>
                <w:tab w:val="left" w:pos="7725"/>
              </w:tabs>
            </w:pPr>
          </w:p>
          <w:p w:rsidR="0062323C" w:rsidRDefault="0062323C">
            <w:pPr>
              <w:tabs>
                <w:tab w:val="left" w:pos="7725"/>
              </w:tabs>
            </w:pPr>
          </w:p>
          <w:p w:rsidR="0062323C" w:rsidRDefault="0062323C">
            <w:pPr>
              <w:tabs>
                <w:tab w:val="left" w:pos="7725"/>
              </w:tabs>
            </w:pPr>
          </w:p>
          <w:p w:rsidR="0062323C" w:rsidRDefault="0062323C">
            <w:pPr>
              <w:tabs>
                <w:tab w:val="left" w:pos="7725"/>
              </w:tabs>
            </w:pPr>
          </w:p>
          <w:p w:rsidR="0062323C" w:rsidRDefault="0062323C">
            <w:pPr>
              <w:tabs>
                <w:tab w:val="left" w:pos="7725"/>
              </w:tabs>
            </w:pPr>
          </w:p>
          <w:p w:rsidR="0062323C" w:rsidRDefault="0062323C">
            <w:pPr>
              <w:tabs>
                <w:tab w:val="left" w:pos="7725"/>
              </w:tabs>
            </w:pPr>
          </w:p>
          <w:p w:rsidR="0062323C" w:rsidRDefault="0062323C">
            <w:pPr>
              <w:tabs>
                <w:tab w:val="left" w:pos="7725"/>
              </w:tabs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62323C">
        <w:tc>
          <w:tcPr>
            <w:tcW w:w="11070" w:type="dxa"/>
          </w:tcPr>
          <w:p w:rsidR="0062323C" w:rsidRDefault="004333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How is this different from your current instructional planning practices? Consider the following as you answer this question: </w:t>
            </w:r>
          </w:p>
          <w:p w:rsidR="0062323C" w:rsidRDefault="0043339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What practice do you need to modify to align to this method of planning?</w:t>
            </w:r>
          </w:p>
          <w:p w:rsidR="0062323C" w:rsidRDefault="0043339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What benefits does method of instructional planning provide?</w:t>
            </w:r>
          </w:p>
          <w:p w:rsidR="0062323C" w:rsidRDefault="0043339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What barriers present themselves in this method of instructional planning?</w:t>
            </w:r>
          </w:p>
          <w:p w:rsidR="0062323C" w:rsidRDefault="0043339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How would you overcome these barriers?</w:t>
            </w: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ind w:left="1080" w:hanging="720"/>
              <w:rPr>
                <w:rFonts w:ascii="Trebuchet MS" w:eastAsia="Trebuchet MS" w:hAnsi="Trebuchet MS" w:cs="Trebuchet MS"/>
                <w:color w:val="000000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  <w:p w:rsidR="0062323C" w:rsidRDefault="0062323C">
            <w:pPr>
              <w:tabs>
                <w:tab w:val="left" w:pos="7725"/>
              </w:tabs>
              <w:rPr>
                <w:rFonts w:ascii="Trebuchet MS" w:eastAsia="Trebuchet MS" w:hAnsi="Trebuchet MS" w:cs="Trebuchet MS"/>
              </w:rPr>
            </w:pPr>
          </w:p>
        </w:tc>
      </w:tr>
    </w:tbl>
    <w:p w:rsidR="0062323C" w:rsidRDefault="0043339C">
      <w:pPr>
        <w:tabs>
          <w:tab w:val="left" w:pos="7725"/>
        </w:tabs>
      </w:pPr>
      <w:r>
        <w:t>III. Additional Notes (Use this box to capture thoughts as you move through other sections of the module)</w:t>
      </w:r>
    </w:p>
    <w:p w:rsidR="0062323C" w:rsidRDefault="0062323C">
      <w:pPr>
        <w:tabs>
          <w:tab w:val="left" w:pos="7725"/>
        </w:tabs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2323C">
        <w:tc>
          <w:tcPr>
            <w:tcW w:w="9350" w:type="dxa"/>
          </w:tcPr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  <w:p w:rsidR="0062323C" w:rsidRDefault="00623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</w:p>
        </w:tc>
      </w:tr>
    </w:tbl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623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62323C" w:rsidRDefault="0062323C">
      <w:pPr>
        <w:tabs>
          <w:tab w:val="left" w:pos="7725"/>
        </w:tabs>
      </w:pPr>
    </w:p>
    <w:sectPr w:rsidR="0062323C">
      <w:footerReference w:type="default" r:id="rId7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9C" w:rsidRDefault="0043339C">
      <w:pPr>
        <w:spacing w:line="240" w:lineRule="auto"/>
      </w:pPr>
      <w:r>
        <w:separator/>
      </w:r>
    </w:p>
  </w:endnote>
  <w:endnote w:type="continuationSeparator" w:id="0">
    <w:p w:rsidR="0043339C" w:rsidRDefault="00433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23C" w:rsidRDefault="006232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:rsidR="0062323C" w:rsidRDefault="006232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9C" w:rsidRDefault="0043339C">
      <w:pPr>
        <w:spacing w:line="240" w:lineRule="auto"/>
      </w:pPr>
      <w:r>
        <w:separator/>
      </w:r>
    </w:p>
  </w:footnote>
  <w:footnote w:type="continuationSeparator" w:id="0">
    <w:p w:rsidR="0043339C" w:rsidRDefault="004333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688"/>
    <w:multiLevelType w:val="multilevel"/>
    <w:tmpl w:val="9D9631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377099"/>
    <w:multiLevelType w:val="multilevel"/>
    <w:tmpl w:val="DF4041D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C7D12"/>
    <w:multiLevelType w:val="multilevel"/>
    <w:tmpl w:val="D9E02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84646"/>
    <w:multiLevelType w:val="multilevel"/>
    <w:tmpl w:val="38207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3C"/>
    <w:rsid w:val="0043339C"/>
    <w:rsid w:val="0062323C"/>
    <w:rsid w:val="00C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98554-9B69-4A1A-A282-8B417ACF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Bruno, Joanna</cp:lastModifiedBy>
  <cp:revision>2</cp:revision>
  <dcterms:created xsi:type="dcterms:W3CDTF">2019-06-20T14:56:00Z</dcterms:created>
  <dcterms:modified xsi:type="dcterms:W3CDTF">2019-06-20T14:56:00Z</dcterms:modified>
</cp:coreProperties>
</file>