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C0" w:rsidRDefault="00621A19">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CF07C0" w:rsidRDefault="00CF07C0">
      <w:pPr>
        <w:rPr>
          <w:rFonts w:ascii="Trebuchet MS" w:eastAsia="Trebuchet MS" w:hAnsi="Trebuchet MS" w:cs="Trebuchet MS"/>
        </w:rPr>
      </w:pPr>
    </w:p>
    <w:p w:rsidR="00CF07C0" w:rsidRDefault="00CF07C0">
      <w:pPr>
        <w:rPr>
          <w:rFonts w:ascii="Trebuchet MS" w:eastAsia="Trebuchet MS" w:hAnsi="Trebuchet MS" w:cs="Trebuchet MS"/>
        </w:rPr>
      </w:pPr>
    </w:p>
    <w:p w:rsidR="00CF07C0" w:rsidRDefault="00621A19">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CF07C0" w:rsidRDefault="00621A19">
      <w:pPr>
        <w:pStyle w:val="Title"/>
        <w:pBdr>
          <w:top w:val="nil"/>
          <w:left w:val="nil"/>
          <w:bottom w:val="nil"/>
          <w:right w:val="nil"/>
          <w:between w:val="nil"/>
        </w:pBdr>
      </w:pPr>
      <w:bookmarkStart w:id="3" w:name="_1fob9te" w:colFirst="0" w:colLast="0"/>
      <w:bookmarkEnd w:id="3"/>
      <w:r>
        <w:t xml:space="preserve">Module 13: Exploring the Instructional Shifts Inherent in the 2020 CAS  </w:t>
      </w:r>
    </w:p>
    <w:p w:rsidR="00CF07C0" w:rsidRDefault="00CF07C0">
      <w:pPr>
        <w:pStyle w:val="Heading1"/>
        <w:pBdr>
          <w:top w:val="nil"/>
          <w:left w:val="nil"/>
          <w:bottom w:val="nil"/>
          <w:right w:val="nil"/>
          <w:between w:val="nil"/>
        </w:pBdr>
      </w:pPr>
      <w:bookmarkStart w:id="4" w:name="_3znysh7" w:colFirst="0" w:colLast="0"/>
      <w:bookmarkEnd w:id="4"/>
    </w:p>
    <w:p w:rsidR="00CF07C0" w:rsidRDefault="00621A19">
      <w:pPr>
        <w:pStyle w:val="Heading1"/>
        <w:pBdr>
          <w:top w:val="nil"/>
          <w:left w:val="nil"/>
          <w:bottom w:val="nil"/>
          <w:right w:val="nil"/>
          <w:between w:val="nil"/>
        </w:pBdr>
      </w:pPr>
      <w:bookmarkStart w:id="5" w:name="_vyil93e5580" w:colFirst="0" w:colLast="0"/>
      <w:bookmarkEnd w:id="5"/>
      <w:r>
        <w:t>Professional Development Session Overview</w:t>
      </w:r>
    </w:p>
    <w:p w:rsidR="00CF07C0" w:rsidRDefault="00CF07C0">
      <w:pPr>
        <w:rPr>
          <w:rFonts w:ascii="Trebuchet MS" w:eastAsia="Trebuchet MS" w:hAnsi="Trebuchet MS" w:cs="Trebuchet MS"/>
        </w:rPr>
      </w:pPr>
    </w:p>
    <w:p w:rsidR="00CF07C0" w:rsidRDefault="00621A19">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was developed to be broadly used with PK-12 teachers and administrators in preparation for the implementation of the 2020 CAS and professional development providers.</w:t>
      </w:r>
    </w:p>
    <w:p w:rsidR="00CF07C0" w:rsidRDefault="00CF07C0">
      <w:pPr>
        <w:pBdr>
          <w:top w:val="nil"/>
          <w:left w:val="nil"/>
          <w:bottom w:val="nil"/>
          <w:right w:val="nil"/>
          <w:between w:val="nil"/>
        </w:pBdr>
        <w:ind w:left="2610" w:hanging="2610"/>
        <w:rPr>
          <w:rFonts w:ascii="Trebuchet MS" w:eastAsia="Trebuchet MS" w:hAnsi="Trebuchet MS" w:cs="Trebuchet MS"/>
          <w:sz w:val="24"/>
          <w:szCs w:val="24"/>
          <w:highlight w:val="white"/>
        </w:rPr>
      </w:pPr>
    </w:p>
    <w:p w:rsidR="00CF07C0" w:rsidRDefault="00621A19">
      <w:pPr>
        <w:pBdr>
          <w:top w:val="nil"/>
          <w:left w:val="nil"/>
          <w:bottom w:val="nil"/>
          <w:right w:val="nil"/>
          <w:between w:val="nil"/>
        </w:pBdr>
        <w:ind w:left="2610" w:hanging="2610"/>
        <w:rPr>
          <w:rFonts w:ascii="Trebuchet MS" w:eastAsia="Trebuchet MS" w:hAnsi="Trebuchet MS" w:cs="Trebuchet MS"/>
          <w:sz w:val="24"/>
          <w:szCs w:val="24"/>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rPr>
        <w:t>In this professional development session the Office of St</w:t>
      </w:r>
      <w:r>
        <w:rPr>
          <w:rFonts w:ascii="Trebuchet MS" w:eastAsia="Trebuchet MS" w:hAnsi="Trebuchet MS" w:cs="Trebuchet MS"/>
          <w:sz w:val="24"/>
          <w:szCs w:val="24"/>
        </w:rPr>
        <w:t>andards &amp; Instructional Support believe educators at all levels must gain a deep understanding of the intentional design principles used to develop the standards. This session will provide an overview of modules 13-16. Participants will have an opportunity</w:t>
      </w:r>
      <w:r>
        <w:rPr>
          <w:rFonts w:ascii="Trebuchet MS" w:eastAsia="Trebuchet MS" w:hAnsi="Trebuchet MS" w:cs="Trebuchet MS"/>
          <w:sz w:val="24"/>
          <w:szCs w:val="24"/>
        </w:rPr>
        <w:t xml:space="preserve"> to engage and reflect on their experience in school and explore how instruction might change with the revised 2020 standards. </w:t>
      </w:r>
    </w:p>
    <w:p w:rsidR="00CF07C0" w:rsidRDefault="00CF07C0">
      <w:pPr>
        <w:pBdr>
          <w:top w:val="nil"/>
          <w:left w:val="nil"/>
          <w:bottom w:val="nil"/>
          <w:right w:val="nil"/>
          <w:between w:val="nil"/>
        </w:pBdr>
        <w:ind w:left="2610" w:hanging="2610"/>
        <w:rPr>
          <w:rFonts w:ascii="Trebuchet MS" w:eastAsia="Trebuchet MS" w:hAnsi="Trebuchet MS" w:cs="Trebuchet MS"/>
          <w:sz w:val="24"/>
          <w:szCs w:val="24"/>
        </w:rPr>
      </w:pP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b/>
          <w:sz w:val="24"/>
          <w:szCs w:val="24"/>
          <w:highlight w:val="white"/>
        </w:rPr>
        <w:t xml:space="preserve">Presentation </w:t>
      </w:r>
      <w:r>
        <w:rPr>
          <w:rFonts w:ascii="Trebuchet MS" w:eastAsia="Trebuchet MS" w:hAnsi="Trebuchet MS" w:cs="Trebuchet MS"/>
          <w:b/>
          <w:sz w:val="24"/>
          <w:szCs w:val="24"/>
          <w:highlight w:val="white"/>
        </w:rPr>
        <w:tab/>
      </w:r>
      <w:r>
        <w:rPr>
          <w:rFonts w:ascii="Trebuchet MS" w:eastAsia="Trebuchet MS" w:hAnsi="Trebuchet MS" w:cs="Trebuchet MS"/>
          <w:sz w:val="24"/>
          <w:szCs w:val="24"/>
          <w:highlight w:val="white"/>
        </w:rPr>
        <w:t>The Power Point presentation for this module is within Learning Management System, Moodle.</w:t>
      </w:r>
      <w:r>
        <w:rPr>
          <w:rFonts w:ascii="Trebuchet MS" w:eastAsia="Trebuchet MS" w:hAnsi="Trebuchet MS" w:cs="Trebuchet MS"/>
          <w:sz w:val="24"/>
          <w:szCs w:val="24"/>
          <w:highlight w:val="yellow"/>
        </w:rPr>
        <w:t xml:space="preserve"> </w:t>
      </w: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sz w:val="24"/>
          <w:szCs w:val="24"/>
          <w:highlight w:val="yellow"/>
        </w:rPr>
        <w:t xml:space="preserve"> </w:t>
      </w: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is designed to be delivered over a 45 min - 1 hour professional development session. Time guidelines are included in the speaker’s notes on facilitator presentation. To complete this process for a grade level or content area it will take long</w:t>
      </w:r>
      <w:r>
        <w:rPr>
          <w:rFonts w:ascii="Trebuchet MS" w:eastAsia="Trebuchet MS" w:hAnsi="Trebuchet MS" w:cs="Trebuchet MS"/>
          <w:sz w:val="24"/>
          <w:szCs w:val="24"/>
          <w:highlight w:val="white"/>
        </w:rPr>
        <w:t>er to complete.</w:t>
      </w: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white"/>
        </w:rPr>
      </w:pPr>
      <w:proofErr w:type="spellStart"/>
      <w:r>
        <w:rPr>
          <w:rFonts w:ascii="Trebuchet MS" w:eastAsia="Trebuchet MS" w:hAnsi="Trebuchet MS" w:cs="Trebuchet MS"/>
          <w:b/>
          <w:sz w:val="24"/>
          <w:szCs w:val="24"/>
          <w:highlight w:val="white"/>
        </w:rPr>
        <w:t>Notecatcher</w:t>
      </w:r>
      <w:proofErr w:type="spellEnd"/>
      <w:r>
        <w:rPr>
          <w:rFonts w:ascii="Trebuchet MS" w:eastAsia="Trebuchet MS" w:hAnsi="Trebuchet MS" w:cs="Trebuchet MS"/>
          <w:sz w:val="24"/>
          <w:szCs w:val="24"/>
          <w:highlight w:val="white"/>
        </w:rPr>
        <w:tab/>
        <w:t xml:space="preserve">This session will be guided for participants by the above presentation file link and a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worksheet. Provide an electronic or printed copy of </w:t>
      </w:r>
      <w:r>
        <w:rPr>
          <w:rFonts w:ascii="Trebuchet MS" w:eastAsia="Trebuchet MS" w:hAnsi="Trebuchet MS" w:cs="Trebuchet MS"/>
          <w:sz w:val="24"/>
          <w:szCs w:val="24"/>
          <w:highlight w:val="white"/>
        </w:rPr>
        <w:tab/>
        <w:t xml:space="preserve">the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to all professional development session attendees.</w:t>
      </w:r>
    </w:p>
    <w:p w:rsidR="00CF07C0" w:rsidRDefault="00621A19">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CF07C0" w:rsidRDefault="00621A19">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w:t>
      </w:r>
      <w:r>
        <w:rPr>
          <w:rFonts w:ascii="Trebuchet MS" w:eastAsia="Trebuchet MS" w:hAnsi="Trebuchet MS" w:cs="Trebuchet MS"/>
          <w:b/>
          <w:sz w:val="24"/>
          <w:szCs w:val="24"/>
          <w:highlight w:val="white"/>
        </w:rPr>
        <w:t>ivery Format</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This module could be facilitated within a lesson planning period with a Professional Learning Community, be used in </w:t>
      </w:r>
      <w:r>
        <w:rPr>
          <w:rFonts w:ascii="Trebuchet MS" w:eastAsia="Trebuchet MS" w:hAnsi="Trebuchet MS" w:cs="Trebuchet MS"/>
          <w:sz w:val="24"/>
          <w:szCs w:val="24"/>
        </w:rPr>
        <w:lastRenderedPageBreak/>
        <w:t xml:space="preserve">conjunction with other </w:t>
      </w:r>
      <w:r>
        <w:rPr>
          <w:rFonts w:ascii="Trebuchet MS" w:eastAsia="Trebuchet MS" w:hAnsi="Trebuchet MS" w:cs="Trebuchet MS"/>
          <w:sz w:val="24"/>
          <w:szCs w:val="24"/>
        </w:rPr>
        <w:tab/>
      </w:r>
      <w:r>
        <w:rPr>
          <w:rFonts w:ascii="Trebuchet MS" w:eastAsia="Trebuchet MS" w:hAnsi="Trebuchet MS" w:cs="Trebuchet MS"/>
          <w:sz w:val="24"/>
          <w:szCs w:val="24"/>
        </w:rPr>
        <w:tab/>
        <w:t>modules for a Professional Development Day, for self-directed learning, or added to your district’s Le</w:t>
      </w:r>
      <w:r>
        <w:rPr>
          <w:rFonts w:ascii="Trebuchet MS" w:eastAsia="Trebuchet MS" w:hAnsi="Trebuchet MS" w:cs="Trebuchet MS"/>
          <w:sz w:val="24"/>
          <w:szCs w:val="24"/>
        </w:rPr>
        <w:t xml:space="preserve">arning Management Platform. </w:t>
      </w: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CF07C0">
      <w:pPr>
        <w:pBdr>
          <w:top w:val="nil"/>
          <w:left w:val="nil"/>
          <w:bottom w:val="nil"/>
          <w:right w:val="nil"/>
          <w:between w:val="nil"/>
        </w:pBdr>
        <w:ind w:left="2610" w:hanging="2610"/>
        <w:rPr>
          <w:rFonts w:ascii="Trebuchet MS" w:eastAsia="Trebuchet MS" w:hAnsi="Trebuchet MS" w:cs="Trebuchet MS"/>
          <w:sz w:val="24"/>
          <w:szCs w:val="24"/>
          <w:highlight w:val="white"/>
        </w:rPr>
      </w:pPr>
    </w:p>
    <w:p w:rsidR="00CF07C0" w:rsidRDefault="00621A19">
      <w:pPr>
        <w:pStyle w:val="Heading1"/>
        <w:pBdr>
          <w:top w:val="nil"/>
          <w:left w:val="nil"/>
          <w:bottom w:val="nil"/>
          <w:right w:val="nil"/>
          <w:between w:val="nil"/>
        </w:pBdr>
      </w:pPr>
      <w:bookmarkStart w:id="6" w:name="_2et92p0" w:colFirst="0" w:colLast="0"/>
      <w:bookmarkEnd w:id="6"/>
      <w:r>
        <w:t>Customizing this Resource to your Local Context &amp; Using Different Delivery Platforms</w:t>
      </w:r>
    </w:p>
    <w:p w:rsidR="00CF07C0" w:rsidRDefault="00CF07C0">
      <w:pPr>
        <w:pBdr>
          <w:top w:val="nil"/>
          <w:left w:val="nil"/>
          <w:bottom w:val="nil"/>
          <w:right w:val="nil"/>
          <w:between w:val="nil"/>
        </w:pBdr>
        <w:rPr>
          <w:rFonts w:ascii="Trebuchet MS" w:eastAsia="Trebuchet MS" w:hAnsi="Trebuchet MS" w:cs="Trebuchet MS"/>
          <w:sz w:val="21"/>
          <w:szCs w:val="21"/>
          <w:highlight w:val="white"/>
        </w:rPr>
      </w:pPr>
    </w:p>
    <w:p w:rsidR="00CF07C0" w:rsidRDefault="00621A19">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w:t>
      </w:r>
      <w:r>
        <w:rPr>
          <w:rFonts w:ascii="Trebuchet MS" w:eastAsia="Trebuchet MS" w:hAnsi="Trebuchet MS" w:cs="Trebuchet MS"/>
          <w:sz w:val="24"/>
          <w:szCs w:val="24"/>
          <w:highlight w:val="white"/>
        </w:rPr>
        <w:t xml:space="preserve">ions that are served. </w:t>
      </w:r>
    </w:p>
    <w:p w:rsidR="00CF07C0" w:rsidRDefault="00621A19">
      <w:pPr>
        <w:pStyle w:val="Heading1"/>
        <w:pBdr>
          <w:top w:val="nil"/>
          <w:left w:val="nil"/>
          <w:bottom w:val="nil"/>
          <w:right w:val="nil"/>
          <w:between w:val="nil"/>
        </w:pBdr>
      </w:pPr>
      <w:bookmarkStart w:id="7" w:name="_tyjcwt" w:colFirst="0" w:colLast="0"/>
      <w:bookmarkEnd w:id="7"/>
      <w:r>
        <w:t>How to Prepare to Use this Resource</w:t>
      </w:r>
    </w:p>
    <w:p w:rsidR="00CF07C0" w:rsidRDefault="00621A19">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These are the recommended steps for preparing to use this resource with a group: </w:t>
      </w: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621A19">
      <w:pPr>
        <w:numPr>
          <w:ilvl w:val="0"/>
          <w:numId w:val="2"/>
        </w:numPr>
        <w:pBdr>
          <w:top w:val="nil"/>
          <w:left w:val="nil"/>
          <w:bottom w:val="nil"/>
          <w:right w:val="nil"/>
          <w:between w:val="nil"/>
        </w:pBdr>
        <w:rPr>
          <w:sz w:val="24"/>
          <w:szCs w:val="24"/>
          <w:highlight w:val="white"/>
        </w:rPr>
      </w:pPr>
      <w:bookmarkStart w:id="8" w:name="_3dy6vkm" w:colFirst="0" w:colLast="0"/>
      <w:bookmarkEnd w:id="8"/>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the</w:t>
      </w:r>
      <w:r>
        <w:rPr>
          <w:rFonts w:ascii="Trebuchet MS" w:eastAsia="Trebuchet MS" w:hAnsi="Trebuchet MS" w:cs="Trebuchet MS"/>
          <w:sz w:val="24"/>
          <w:szCs w:val="24"/>
          <w:highlight w:val="white"/>
        </w:rPr>
        <w:t xml:space="preserve"> speaker notes provided for each slide, and the referenced resources. It would also be beneficial to review both Modules 8 and 9 to identify the best way to facilitate this process.</w:t>
      </w: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621A19">
      <w:pPr>
        <w:numPr>
          <w:ilvl w:val="0"/>
          <w:numId w:val="2"/>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Make copies or provide an electronic copy of resources referenced in the session.</w:t>
      </w:r>
      <w:r>
        <w:rPr>
          <w:rFonts w:ascii="Trebuchet MS" w:eastAsia="Trebuchet MS" w:hAnsi="Trebuchet MS" w:cs="Trebuchet MS"/>
          <w:sz w:val="24"/>
          <w:szCs w:val="24"/>
          <w:highlight w:val="white"/>
        </w:rPr>
        <w:t xml:space="preserve"> We recommend that you make a copy of the following resources for all participants as a good starting point in the work: </w:t>
      </w:r>
    </w:p>
    <w:p w:rsidR="00CF07C0" w:rsidRDefault="00621A19">
      <w:pPr>
        <w:numPr>
          <w:ilvl w:val="0"/>
          <w:numId w:val="5"/>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Module 13: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yellow"/>
        </w:rPr>
        <w:t xml:space="preserve">  </w:t>
      </w:r>
    </w:p>
    <w:p w:rsidR="00CF07C0" w:rsidRDefault="00CF07C0">
      <w:pPr>
        <w:ind w:left="1440"/>
        <w:rPr>
          <w:rFonts w:ascii="Trebuchet MS" w:eastAsia="Trebuchet MS" w:hAnsi="Trebuchet MS" w:cs="Trebuchet MS"/>
          <w:sz w:val="24"/>
          <w:szCs w:val="24"/>
          <w:highlight w:val="white"/>
        </w:rPr>
      </w:pPr>
    </w:p>
    <w:p w:rsidR="00CF07C0" w:rsidRDefault="00621A19">
      <w:pPr>
        <w:numPr>
          <w:ilvl w:val="0"/>
          <w:numId w:val="2"/>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Other materials or Consider</w:t>
      </w:r>
      <w:r>
        <w:rPr>
          <w:rFonts w:ascii="Trebuchet MS" w:eastAsia="Trebuchet MS" w:hAnsi="Trebuchet MS" w:cs="Trebuchet MS"/>
          <w:b/>
          <w:sz w:val="24"/>
          <w:szCs w:val="24"/>
          <w:highlight w:val="white"/>
        </w:rPr>
        <w:t>ations</w:t>
      </w:r>
    </w:p>
    <w:p w:rsidR="00CF07C0" w:rsidRDefault="00621A19">
      <w:pPr>
        <w:numPr>
          <w:ilvl w:val="0"/>
          <w:numId w:val="5"/>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Chart paper </w:t>
      </w:r>
      <w:r>
        <w:rPr>
          <w:rFonts w:ascii="Trebuchet MS" w:eastAsia="Trebuchet MS" w:hAnsi="Trebuchet MS" w:cs="Trebuchet MS"/>
          <w:sz w:val="24"/>
          <w:szCs w:val="24"/>
        </w:rPr>
        <w:t xml:space="preserve">     </w:t>
      </w:r>
    </w:p>
    <w:p w:rsidR="00CF07C0" w:rsidRDefault="00621A19">
      <w:pPr>
        <w:pStyle w:val="Heading1"/>
        <w:pBdr>
          <w:top w:val="nil"/>
          <w:left w:val="nil"/>
          <w:bottom w:val="nil"/>
          <w:right w:val="nil"/>
          <w:between w:val="nil"/>
        </w:pBdr>
      </w:pPr>
      <w:bookmarkStart w:id="9" w:name="_4d34og8" w:colFirst="0" w:colLast="0"/>
      <w:bookmarkEnd w:id="9"/>
      <w:r>
        <w:t>Building a Community and Developing Group Norms</w:t>
      </w:r>
    </w:p>
    <w:p w:rsidR="00CF07C0" w:rsidRDefault="00621A19">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 xml:space="preserve">ipants to introduce themselves to each other, or can include more extensive discussion and shared development of group norms. Extensive resources exist to support such work--here are just a few ideas to get started: </w:t>
      </w: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CF07C0">
      <w:pPr>
        <w:pBdr>
          <w:top w:val="nil"/>
          <w:left w:val="nil"/>
          <w:bottom w:val="nil"/>
          <w:right w:val="nil"/>
          <w:between w:val="nil"/>
        </w:pBdr>
        <w:rPr>
          <w:rFonts w:ascii="Trebuchet MS" w:eastAsia="Trebuchet MS" w:hAnsi="Trebuchet MS" w:cs="Trebuchet MS"/>
          <w:sz w:val="24"/>
          <w:szCs w:val="24"/>
          <w:highlight w:val="white"/>
        </w:rPr>
      </w:pPr>
    </w:p>
    <w:p w:rsidR="00CF07C0" w:rsidRDefault="00621A19">
      <w:pPr>
        <w:pStyle w:val="Heading2"/>
        <w:pBdr>
          <w:top w:val="nil"/>
          <w:left w:val="nil"/>
          <w:bottom w:val="nil"/>
          <w:right w:val="nil"/>
          <w:between w:val="nil"/>
        </w:pBdr>
      </w:pPr>
      <w:bookmarkStart w:id="10" w:name="_2s8eyo1" w:colFirst="0" w:colLast="0"/>
      <w:bookmarkEnd w:id="10"/>
      <w:r>
        <w:lastRenderedPageBreak/>
        <w:t>Developing Group Norms</w:t>
      </w:r>
    </w:p>
    <w:p w:rsidR="00CF07C0" w:rsidRDefault="00621A19">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Group norms c</w:t>
      </w:r>
      <w:r>
        <w:rPr>
          <w:rFonts w:ascii="Trebuchet MS" w:eastAsia="Trebuchet MS" w:hAnsi="Trebuchet MS" w:cs="Trebuchet MS"/>
          <w:sz w:val="24"/>
          <w:szCs w:val="24"/>
          <w:highlight w:val="white"/>
        </w:rPr>
        <w:t>an help to create a safe space where participants feel comfortable sharing their ideas and experiences. Group norms can be developed in several ways: they may be generated and negotiated by the participants, facilitators might generate and post them, or in</w:t>
      </w:r>
      <w:r>
        <w:rPr>
          <w:rFonts w:ascii="Trebuchet MS" w:eastAsia="Trebuchet MS" w:hAnsi="Trebuchet MS" w:cs="Trebuchet MS"/>
          <w:sz w:val="24"/>
          <w:szCs w:val="24"/>
          <w:highlight w:val="white"/>
        </w:rPr>
        <w:t xml:space="preserve"> a hybrid model facilitators might seed a “starter” set of norms to be edited by the participants. Some norms may include: </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w:t>
      </w:r>
      <w:r>
        <w:rPr>
          <w:rFonts w:ascii="Trebuchet MS" w:eastAsia="Trebuchet MS" w:hAnsi="Trebuchet MS" w:cs="Trebuchet MS"/>
          <w:sz w:val="24"/>
          <w:szCs w:val="24"/>
          <w:highlight w:val="white"/>
        </w:rPr>
        <w:t>ns</w:t>
      </w:r>
    </w:p>
    <w:p w:rsidR="00CF07C0" w:rsidRDefault="00621A19">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CF07C0" w:rsidRDefault="00CF07C0">
      <w:pPr>
        <w:pBdr>
          <w:top w:val="nil"/>
          <w:left w:val="nil"/>
          <w:bottom w:val="nil"/>
          <w:right w:val="nil"/>
          <w:between w:val="nil"/>
        </w:pBdr>
        <w:rPr>
          <w:rFonts w:ascii="Trebuchet MS" w:eastAsia="Trebuchet MS" w:hAnsi="Trebuchet MS" w:cs="Trebuchet MS"/>
          <w:sz w:val="20"/>
          <w:szCs w:val="20"/>
          <w:highlight w:val="white"/>
        </w:rPr>
      </w:pPr>
    </w:p>
    <w:p w:rsidR="00CF07C0" w:rsidRDefault="00CF07C0">
      <w:pPr>
        <w:pBdr>
          <w:top w:val="nil"/>
          <w:left w:val="nil"/>
          <w:bottom w:val="single" w:sz="6" w:space="1" w:color="000000"/>
          <w:right w:val="nil"/>
          <w:between w:val="nil"/>
        </w:pBdr>
        <w:rPr>
          <w:rFonts w:ascii="Trebuchet MS" w:eastAsia="Trebuchet MS" w:hAnsi="Trebuchet MS" w:cs="Trebuchet MS"/>
          <w:sz w:val="21"/>
          <w:szCs w:val="21"/>
          <w:highlight w:val="white"/>
        </w:rPr>
      </w:pPr>
      <w:bookmarkStart w:id="11" w:name="_17dp8vu" w:colFirst="0" w:colLast="0"/>
      <w:bookmarkEnd w:id="11"/>
    </w:p>
    <w:p w:rsidR="00CF07C0" w:rsidRDefault="00CF07C0">
      <w:pPr>
        <w:pBdr>
          <w:left w:val="nil"/>
          <w:bottom w:val="nil"/>
          <w:right w:val="nil"/>
          <w:between w:val="nil"/>
        </w:pBdr>
        <w:rPr>
          <w:rFonts w:ascii="Trebuchet MS" w:eastAsia="Trebuchet MS" w:hAnsi="Trebuchet MS" w:cs="Trebuchet MS"/>
          <w:sz w:val="21"/>
          <w:szCs w:val="21"/>
          <w:highlight w:val="white"/>
        </w:rPr>
      </w:pPr>
    </w:p>
    <w:p w:rsidR="00CF07C0" w:rsidRDefault="00621A19">
      <w:pPr>
        <w:pStyle w:val="Heading1"/>
        <w:pBdr>
          <w:top w:val="nil"/>
          <w:left w:val="nil"/>
          <w:bottom w:val="nil"/>
          <w:right w:val="nil"/>
          <w:between w:val="nil"/>
        </w:pBdr>
      </w:pPr>
      <w:r>
        <w:t>Considerations for this module</w:t>
      </w:r>
    </w:p>
    <w:p w:rsidR="00CF07C0" w:rsidRDefault="00CF07C0">
      <w:pPr>
        <w:rPr>
          <w:rFonts w:ascii="Trebuchet MS" w:eastAsia="Trebuchet MS" w:hAnsi="Trebuchet MS" w:cs="Trebuchet MS"/>
          <w:highlight w:val="white"/>
        </w:rPr>
      </w:pPr>
    </w:p>
    <w:p w:rsidR="00CF07C0" w:rsidRDefault="00621A1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13 explores the instruction shifts inherent in the 2020 Colorado Academic Standards. This module provides examines what students should be doing during instruction, and identifies the relevancy of the verbs within the 2020 CAS. After completing this</w:t>
      </w:r>
      <w:r>
        <w:rPr>
          <w:rFonts w:ascii="Trebuchet MS" w:eastAsia="Trebuchet MS" w:hAnsi="Trebuchet MS" w:cs="Trebuchet MS"/>
          <w:sz w:val="24"/>
          <w:szCs w:val="24"/>
          <w:highlight w:val="white"/>
        </w:rPr>
        <w:t xml:space="preserve"> module, educators will be able to match instructional planning to what students should be doing as evidence in the Revised 2020 CAS.  </w:t>
      </w:r>
    </w:p>
    <w:p w:rsidR="00CF07C0" w:rsidRDefault="00CF07C0">
      <w:pPr>
        <w:rPr>
          <w:rFonts w:ascii="Trebuchet MS" w:eastAsia="Trebuchet MS" w:hAnsi="Trebuchet MS" w:cs="Trebuchet MS"/>
          <w:sz w:val="24"/>
          <w:szCs w:val="24"/>
          <w:highlight w:val="white"/>
        </w:rPr>
      </w:pPr>
    </w:p>
    <w:p w:rsidR="00CF07C0" w:rsidRDefault="00621A19">
      <w:pPr>
        <w:pStyle w:val="Heading1"/>
        <w:pBdr>
          <w:top w:val="nil"/>
          <w:left w:val="nil"/>
          <w:bottom w:val="nil"/>
          <w:right w:val="nil"/>
          <w:between w:val="nil"/>
        </w:pBdr>
      </w:pPr>
      <w:bookmarkStart w:id="12" w:name="_3rdcrjn" w:colFirst="0" w:colLast="0"/>
      <w:bookmarkEnd w:id="12"/>
      <w:r>
        <w:t>Presentation Outline with Speaker Notes</w:t>
      </w:r>
    </w:p>
    <w:p w:rsidR="00CF07C0" w:rsidRDefault="00CF07C0">
      <w:pPr>
        <w:rPr>
          <w:rFonts w:ascii="Trebuchet MS" w:eastAsia="Trebuchet MS" w:hAnsi="Trebuchet MS" w:cs="Trebuchet MS"/>
        </w:rPr>
      </w:pPr>
    </w:p>
    <w:p w:rsidR="00CF07C0" w:rsidRDefault="00621A19">
      <w:pPr>
        <w:numPr>
          <w:ilvl w:val="0"/>
          <w:numId w:val="1"/>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b/>
          <w:sz w:val="24"/>
          <w:szCs w:val="24"/>
        </w:rPr>
        <w:t>Title Exploring the Instructional Shifts Inherent in the 2020 CAS</w:t>
      </w:r>
    </w:p>
    <w:p w:rsidR="00CF07C0" w:rsidRDefault="00621A19">
      <w:pPr>
        <w:pBdr>
          <w:top w:val="nil"/>
          <w:left w:val="nil"/>
          <w:bottom w:val="nil"/>
          <w:right w:val="nil"/>
          <w:between w:val="nil"/>
        </w:pBdr>
        <w:ind w:left="720"/>
        <w:rPr>
          <w:rFonts w:ascii="Trebuchet MS" w:eastAsia="Trebuchet MS" w:hAnsi="Trebuchet MS" w:cs="Trebuchet MS"/>
          <w:color w:val="0000FF"/>
          <w:sz w:val="24"/>
          <w:szCs w:val="24"/>
        </w:rPr>
      </w:pPr>
      <w:r>
        <w:rPr>
          <w:rFonts w:ascii="Trebuchet MS" w:eastAsia="Trebuchet MS" w:hAnsi="Trebuchet MS" w:cs="Trebuchet MS"/>
          <w:color w:val="0000FF"/>
          <w:sz w:val="24"/>
          <w:szCs w:val="24"/>
        </w:rPr>
        <w:t xml:space="preserve">Estimated </w:t>
      </w:r>
      <w:r>
        <w:rPr>
          <w:rFonts w:ascii="Trebuchet MS" w:eastAsia="Trebuchet MS" w:hAnsi="Trebuchet MS" w:cs="Trebuchet MS"/>
          <w:color w:val="0000FF"/>
          <w:sz w:val="24"/>
          <w:szCs w:val="24"/>
        </w:rPr>
        <w:t>Time for Module 13 is 30 minutes</w:t>
      </w:r>
    </w:p>
    <w:p w:rsidR="00CF07C0" w:rsidRDefault="00621A19">
      <w:pPr>
        <w:widowControl w:val="0"/>
        <w:numPr>
          <w:ilvl w:val="0"/>
          <w:numId w:val="1"/>
        </w:numPr>
        <w:spacing w:line="240" w:lineRule="auto"/>
        <w:rPr>
          <w:sz w:val="24"/>
          <w:szCs w:val="24"/>
        </w:rPr>
      </w:pPr>
      <w:r>
        <w:rPr>
          <w:rFonts w:ascii="Trebuchet MS" w:eastAsia="Trebuchet MS" w:hAnsi="Trebuchet MS" w:cs="Trebuchet MS"/>
          <w:b/>
          <w:sz w:val="24"/>
          <w:szCs w:val="24"/>
        </w:rPr>
        <w:t xml:space="preserve">Goals and Objectives </w:t>
      </w:r>
      <w:r>
        <w:rPr>
          <w:rFonts w:ascii="Trebuchet MS" w:eastAsia="Trebuchet MS" w:hAnsi="Trebuchet MS" w:cs="Trebuchet MS"/>
          <w:color w:val="0000FF"/>
          <w:sz w:val="24"/>
          <w:szCs w:val="24"/>
        </w:rPr>
        <w:t>Estimated time: 1 minute</w:t>
      </w:r>
    </w:p>
    <w:p w:rsidR="00CF07C0" w:rsidRDefault="00621A19">
      <w:pPr>
        <w:widowControl w:val="0"/>
        <w:spacing w:line="240" w:lineRule="auto"/>
        <w:ind w:left="1260" w:firstLine="180"/>
        <w:rPr>
          <w:rFonts w:ascii="Trebuchet MS" w:eastAsia="Trebuchet MS" w:hAnsi="Trebuchet MS" w:cs="Trebuchet MS"/>
        </w:rPr>
      </w:pPr>
      <w:r>
        <w:rPr>
          <w:rFonts w:ascii="Trebuchet MS" w:eastAsia="Trebuchet MS" w:hAnsi="Trebuchet MS" w:cs="Trebuchet MS"/>
        </w:rPr>
        <w:t xml:space="preserve">Educators will be able to: </w:t>
      </w:r>
    </w:p>
    <w:p w:rsidR="00CF07C0" w:rsidRDefault="00621A19">
      <w:pPr>
        <w:widowControl w:val="0"/>
        <w:numPr>
          <w:ilvl w:val="0"/>
          <w:numId w:val="3"/>
        </w:numPr>
        <w:spacing w:line="240" w:lineRule="auto"/>
      </w:pPr>
      <w:r>
        <w:rPr>
          <w:rFonts w:ascii="Trebuchet MS" w:eastAsia="Trebuchet MS" w:hAnsi="Trebuchet MS" w:cs="Trebuchet MS"/>
        </w:rPr>
        <w:t>Identify the implicit instructional shifts in the Revised 2020 CAS.</w:t>
      </w:r>
    </w:p>
    <w:p w:rsidR="00CF07C0" w:rsidRDefault="00621A19">
      <w:pPr>
        <w:widowControl w:val="0"/>
        <w:numPr>
          <w:ilvl w:val="0"/>
          <w:numId w:val="3"/>
        </w:numPr>
        <w:spacing w:line="240" w:lineRule="auto"/>
      </w:pPr>
      <w:r>
        <w:rPr>
          <w:rFonts w:ascii="Trebuchet MS" w:eastAsia="Trebuchet MS" w:hAnsi="Trebuchet MS" w:cs="Trebuchet MS"/>
        </w:rPr>
        <w:t xml:space="preserve">Explore what the students should be </w:t>
      </w:r>
      <w:r>
        <w:rPr>
          <w:rFonts w:ascii="Trebuchet MS" w:eastAsia="Trebuchet MS" w:hAnsi="Trebuchet MS" w:cs="Trebuchet MS"/>
          <w:i/>
        </w:rPr>
        <w:t>doing</w:t>
      </w:r>
      <w:r>
        <w:rPr>
          <w:rFonts w:ascii="Trebuchet MS" w:eastAsia="Trebuchet MS" w:hAnsi="Trebuchet MS" w:cs="Trebuchet MS"/>
        </w:rPr>
        <w:t xml:space="preserve"> as evidenced in the Revised 2020 CAS.</w:t>
      </w:r>
    </w:p>
    <w:p w:rsidR="00CF07C0" w:rsidRDefault="00621A19">
      <w:pPr>
        <w:widowControl w:val="0"/>
        <w:numPr>
          <w:ilvl w:val="0"/>
          <w:numId w:val="3"/>
        </w:numPr>
        <w:spacing w:line="240" w:lineRule="auto"/>
      </w:pPr>
      <w:r>
        <w:rPr>
          <w:rFonts w:ascii="Trebuchet MS" w:eastAsia="Trebuchet MS" w:hAnsi="Trebuchet MS" w:cs="Trebuchet MS"/>
        </w:rPr>
        <w:t xml:space="preserve">Discuss the importance of matching instructional planning to what the students should be </w:t>
      </w:r>
      <w:r>
        <w:rPr>
          <w:rFonts w:ascii="Trebuchet MS" w:eastAsia="Trebuchet MS" w:hAnsi="Trebuchet MS" w:cs="Trebuchet MS"/>
          <w:i/>
        </w:rPr>
        <w:t>doing</w:t>
      </w:r>
      <w:r>
        <w:rPr>
          <w:rFonts w:ascii="Trebuchet MS" w:eastAsia="Trebuchet MS" w:hAnsi="Trebuchet MS" w:cs="Trebuchet MS"/>
        </w:rPr>
        <w:t xml:space="preserve"> as evidenced in the Revised 2020 CAS.</w:t>
      </w:r>
    </w:p>
    <w:p w:rsidR="00CF07C0" w:rsidRDefault="00621A19">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Warm-Up </w:t>
      </w:r>
      <w:r>
        <w:rPr>
          <w:rFonts w:ascii="Trebuchet MS" w:eastAsia="Trebuchet MS" w:hAnsi="Trebuchet MS" w:cs="Trebuchet MS"/>
          <w:color w:val="0000FF"/>
          <w:sz w:val="24"/>
          <w:szCs w:val="24"/>
        </w:rPr>
        <w:t>Estimated time: 5 minutes</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Have educators refer to their </w:t>
      </w:r>
      <w:proofErr w:type="spellStart"/>
      <w:r>
        <w:rPr>
          <w:rFonts w:ascii="Trebuchet MS" w:eastAsia="Trebuchet MS" w:hAnsi="Trebuchet MS" w:cs="Trebuchet MS"/>
          <w:highlight w:val="white"/>
        </w:rPr>
        <w:t>notecatcher</w:t>
      </w:r>
      <w:proofErr w:type="spellEnd"/>
      <w:r>
        <w:rPr>
          <w:rFonts w:ascii="Trebuchet MS" w:eastAsia="Trebuchet MS" w:hAnsi="Trebuchet MS" w:cs="Trebuchet MS"/>
          <w:highlight w:val="white"/>
        </w:rPr>
        <w:t xml:space="preserve"> for the following activity.</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Invite them to sign</w:t>
      </w:r>
      <w:r>
        <w:rPr>
          <w:rFonts w:ascii="Trebuchet MS" w:eastAsia="Trebuchet MS" w:hAnsi="Trebuchet MS" w:cs="Trebuchet MS"/>
          <w:highlight w:val="white"/>
        </w:rPr>
        <w:t xml:space="preserve"> their name 5 times. This will take a minute or so. </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Ask them to do it again. </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Now, ask them to put the pen in their other hand and do 5 signatures again. This will cause much hilarity/huffing-and-puffing etc. </w:t>
      </w:r>
    </w:p>
    <w:p w:rsidR="00CF07C0" w:rsidRDefault="00621A19">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Then distract teachers by talking about how h</w:t>
      </w:r>
      <w:r>
        <w:rPr>
          <w:rFonts w:ascii="Trebuchet MS" w:eastAsia="Trebuchet MS" w:hAnsi="Trebuchet MS" w:cs="Trebuchet MS"/>
          <w:highlight w:val="white"/>
        </w:rPr>
        <w:t xml:space="preserve">ard it was, how people struggled, anything really to take their mind off the 'exercise'. </w:t>
      </w:r>
    </w:p>
    <w:p w:rsidR="00CF07C0" w:rsidRDefault="00621A19">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Then ask them to sign their signature again 5 times. </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Now, at this point, most people switch back to their normal hands and do 5 signatures. Let them do this.</w:t>
      </w:r>
    </w:p>
    <w:p w:rsidR="00CF07C0" w:rsidRDefault="00621A19">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Summarize... why did they switch back to their usual writing hand? You certainly didn't tell </w:t>
      </w:r>
      <w:r>
        <w:rPr>
          <w:rFonts w:ascii="Trebuchet MS" w:eastAsia="Trebuchet MS" w:hAnsi="Trebuchet MS" w:cs="Trebuchet MS"/>
          <w:highlight w:val="white"/>
        </w:rPr>
        <w:lastRenderedPageBreak/>
        <w:t xml:space="preserve">them to. As far as you were concerned, the pen should have been in the 'other' hand and you didn't say otherwise. Lesson: people will almost always revert to what </w:t>
      </w:r>
      <w:r>
        <w:rPr>
          <w:rFonts w:ascii="Trebuchet MS" w:eastAsia="Trebuchet MS" w:hAnsi="Trebuchet MS" w:cs="Trebuchet MS"/>
          <w:highlight w:val="white"/>
        </w:rPr>
        <w:t xml:space="preserve">they know unless there's a conscious effort not to. </w:t>
      </w:r>
    </w:p>
    <w:p w:rsidR="00CF07C0" w:rsidRDefault="00621A19">
      <w:pPr>
        <w:widowControl w:val="0"/>
        <w:numPr>
          <w:ilvl w:val="1"/>
          <w:numId w:val="1"/>
        </w:numPr>
        <w:spacing w:line="240" w:lineRule="auto"/>
        <w:rPr>
          <w:highlight w:val="white"/>
        </w:rPr>
      </w:pPr>
      <w:r>
        <w:rPr>
          <w:rFonts w:ascii="Trebuchet MS" w:eastAsia="Trebuchet MS" w:hAnsi="Trebuchet MS" w:cs="Trebuchet MS"/>
          <w:highlight w:val="white"/>
        </w:rPr>
        <w:t xml:space="preserve">This a light-hearted exercise and only takes a few minutes, but is a </w:t>
      </w:r>
      <w:r>
        <w:rPr>
          <w:rFonts w:ascii="Trebuchet MS" w:eastAsia="Trebuchet MS" w:hAnsi="Trebuchet MS" w:cs="Trebuchet MS"/>
          <w:b/>
          <w:highlight w:val="white"/>
        </w:rPr>
        <w:t>good intro to change and just why so many people struggle with it.  For some educators, changing their instruction may seem daunting a</w:t>
      </w:r>
      <w:r>
        <w:rPr>
          <w:rFonts w:ascii="Trebuchet MS" w:eastAsia="Trebuchet MS" w:hAnsi="Trebuchet MS" w:cs="Trebuchet MS"/>
          <w:b/>
          <w:highlight w:val="white"/>
        </w:rPr>
        <w:t>s they consider the student learning demands of the standards.</w:t>
      </w:r>
    </w:p>
    <w:p w:rsidR="00CF07C0" w:rsidRDefault="00CF07C0">
      <w:pPr>
        <w:ind w:left="2160"/>
        <w:rPr>
          <w:rFonts w:ascii="Trebuchet MS" w:eastAsia="Trebuchet MS" w:hAnsi="Trebuchet MS" w:cs="Trebuchet MS"/>
        </w:rPr>
      </w:pPr>
    </w:p>
    <w:p w:rsidR="00CF07C0" w:rsidRDefault="00621A19">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Is a Verb just a Verb? </w:t>
      </w:r>
      <w:r>
        <w:rPr>
          <w:rFonts w:ascii="Trebuchet MS" w:eastAsia="Trebuchet MS" w:hAnsi="Trebuchet MS" w:cs="Trebuchet MS"/>
          <w:color w:val="0000FF"/>
          <w:sz w:val="24"/>
          <w:szCs w:val="24"/>
        </w:rPr>
        <w:t>Estimated time: 5 minutes</w:t>
      </w:r>
    </w:p>
    <w:p w:rsidR="00CF07C0" w:rsidRDefault="00621A19">
      <w:pPr>
        <w:widowControl w:val="0"/>
        <w:numPr>
          <w:ilvl w:val="1"/>
          <w:numId w:val="1"/>
        </w:numPr>
        <w:spacing w:line="240" w:lineRule="auto"/>
        <w:rPr>
          <w:rFonts w:ascii="Trebuchet MS" w:eastAsia="Trebuchet MS" w:hAnsi="Trebuchet MS" w:cs="Trebuchet MS"/>
          <w:b/>
        </w:rPr>
      </w:pPr>
      <w:r>
        <w:rPr>
          <w:rFonts w:ascii="Trebuchet MS" w:eastAsia="Trebuchet MS" w:hAnsi="Trebuchet MS" w:cs="Trebuchet MS"/>
        </w:rPr>
        <w:t>Ask teachers to think about the verbs in the standards… The verbs are indicative of what the students should be doing to demonstrate mastery of</w:t>
      </w:r>
      <w:r>
        <w:rPr>
          <w:rFonts w:ascii="Trebuchet MS" w:eastAsia="Trebuchet MS" w:hAnsi="Trebuchet MS" w:cs="Trebuchet MS"/>
        </w:rPr>
        <w:t xml:space="preserve"> the standards.  As such, instruction must reflect </w:t>
      </w:r>
      <w:proofErr w:type="gramStart"/>
      <w:r>
        <w:rPr>
          <w:rFonts w:ascii="Trebuchet MS" w:eastAsia="Trebuchet MS" w:hAnsi="Trebuchet MS" w:cs="Trebuchet MS"/>
        </w:rPr>
        <w:t>the and</w:t>
      </w:r>
      <w:proofErr w:type="gramEnd"/>
      <w:r>
        <w:rPr>
          <w:rFonts w:ascii="Trebuchet MS" w:eastAsia="Trebuchet MS" w:hAnsi="Trebuchet MS" w:cs="Trebuchet MS"/>
        </w:rPr>
        <w:t xml:space="preserve"> allow for opportunities for students to demonstrate their knowledge and understanding of the content and skills by doing.</w:t>
      </w:r>
    </w:p>
    <w:p w:rsidR="00CF07C0" w:rsidRDefault="00621A19">
      <w:pPr>
        <w:widowControl w:val="0"/>
        <w:numPr>
          <w:ilvl w:val="1"/>
          <w:numId w:val="1"/>
        </w:numPr>
        <w:spacing w:line="240" w:lineRule="auto"/>
        <w:rPr>
          <w:rFonts w:ascii="Trebuchet MS" w:eastAsia="Trebuchet MS" w:hAnsi="Trebuchet MS" w:cs="Trebuchet MS"/>
          <w:b/>
        </w:rPr>
      </w:pPr>
      <w:r>
        <w:rPr>
          <w:rFonts w:ascii="Trebuchet MS" w:eastAsia="Trebuchet MS" w:hAnsi="Trebuchet MS" w:cs="Trebuchet MS"/>
        </w:rPr>
        <w:t xml:space="preserve">Explain that </w:t>
      </w:r>
      <w:r>
        <w:rPr>
          <w:rFonts w:ascii="Trebuchet MS" w:eastAsia="Trebuchet MS" w:hAnsi="Trebuchet MS" w:cs="Trebuchet MS"/>
          <w:i/>
        </w:rPr>
        <w:t>instructional shifts</w:t>
      </w:r>
      <w:r>
        <w:rPr>
          <w:rFonts w:ascii="Trebuchet MS" w:eastAsia="Trebuchet MS" w:hAnsi="Trebuchet MS" w:cs="Trebuchet MS"/>
        </w:rPr>
        <w:t xml:space="preserve"> means that teachers need to what the stud</w:t>
      </w:r>
      <w:r>
        <w:rPr>
          <w:rFonts w:ascii="Trebuchet MS" w:eastAsia="Trebuchet MS" w:hAnsi="Trebuchet MS" w:cs="Trebuchet MS"/>
        </w:rPr>
        <w:t>ents are doing and match it to their instruction.</w:t>
      </w:r>
    </w:p>
    <w:p w:rsidR="00CF07C0" w:rsidRDefault="00621A19">
      <w:pPr>
        <w:widowControl w:val="0"/>
        <w:numPr>
          <w:ilvl w:val="1"/>
          <w:numId w:val="1"/>
        </w:numPr>
        <w:spacing w:line="240" w:lineRule="auto"/>
        <w:rPr>
          <w:rFonts w:ascii="Trebuchet MS" w:eastAsia="Trebuchet MS" w:hAnsi="Trebuchet MS" w:cs="Trebuchet MS"/>
          <w:b/>
        </w:rPr>
      </w:pPr>
      <w:r>
        <w:rPr>
          <w:rFonts w:ascii="Trebuchet MS" w:eastAsia="Trebuchet MS" w:hAnsi="Trebuchet MS" w:cs="Trebuchet MS"/>
        </w:rPr>
        <w:t>Have teachers discuss their current instructional planning strategies - how do they ensure that the “doing” (e.g., the verbs of the standards) are explicitly included?</w:t>
      </w:r>
    </w:p>
    <w:p w:rsidR="00CF07C0" w:rsidRDefault="00621A19">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u w:val="single"/>
        </w:rPr>
        <w:t>Doing</w:t>
      </w:r>
      <w:r>
        <w:rPr>
          <w:rFonts w:ascii="Trebuchet MS" w:eastAsia="Trebuchet MS" w:hAnsi="Trebuchet MS" w:cs="Trebuchet MS"/>
          <w:b/>
          <w:sz w:val="24"/>
          <w:szCs w:val="24"/>
        </w:rPr>
        <w:t xml:space="preserve"> is a Verb! </w:t>
      </w:r>
      <w:r>
        <w:rPr>
          <w:rFonts w:ascii="Trebuchet MS" w:eastAsia="Trebuchet MS" w:hAnsi="Trebuchet MS" w:cs="Trebuchet MS"/>
          <w:color w:val="0000FF"/>
          <w:sz w:val="24"/>
          <w:szCs w:val="24"/>
        </w:rPr>
        <w:t>Estimated time: 10 minutes</w:t>
      </w:r>
    </w:p>
    <w:p w:rsidR="00CF07C0" w:rsidRDefault="00621A19">
      <w:pPr>
        <w:numPr>
          <w:ilvl w:val="1"/>
          <w:numId w:val="1"/>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Scenario</w:t>
      </w:r>
    </w:p>
    <w:p w:rsidR="00CF07C0" w:rsidRDefault="00621A19">
      <w:pPr>
        <w:widowControl w:val="0"/>
        <w:numPr>
          <w:ilvl w:val="2"/>
          <w:numId w:val="1"/>
        </w:numPr>
        <w:spacing w:line="240" w:lineRule="auto"/>
      </w:pPr>
      <w:r>
        <w:rPr>
          <w:rFonts w:ascii="Trebuchet MS" w:eastAsia="Trebuchet MS" w:hAnsi="Trebuchet MS" w:cs="Trebuchet MS"/>
        </w:rPr>
        <w:t xml:space="preserve">High School Standard 1: History, GLE2, </w:t>
      </w:r>
      <w:proofErr w:type="spellStart"/>
      <w:r>
        <w:rPr>
          <w:rFonts w:ascii="Trebuchet MS" w:eastAsia="Trebuchet MS" w:hAnsi="Trebuchet MS" w:cs="Trebuchet MS"/>
        </w:rPr>
        <w:t>EO.b</w:t>
      </w:r>
      <w:proofErr w:type="spellEnd"/>
      <w:r>
        <w:rPr>
          <w:rFonts w:ascii="Trebuchet MS" w:eastAsia="Trebuchet MS" w:hAnsi="Trebuchet MS" w:cs="Trebuchet MS"/>
        </w:rPr>
        <w:t xml:space="preserve"> - Investigate causes and effects of significant events throughout United States History</w:t>
      </w:r>
    </w:p>
    <w:p w:rsidR="00CF07C0" w:rsidRDefault="00621A19">
      <w:pPr>
        <w:widowControl w:val="0"/>
        <w:numPr>
          <w:ilvl w:val="2"/>
          <w:numId w:val="1"/>
        </w:numPr>
        <w:spacing w:line="240" w:lineRule="auto"/>
      </w:pPr>
      <w:r>
        <w:rPr>
          <w:rFonts w:ascii="Trebuchet MS" w:eastAsia="Trebuchet MS" w:hAnsi="Trebuchet MS" w:cs="Trebuchet MS"/>
        </w:rPr>
        <w:t xml:space="preserve">The EO asks students to “investigate” (what the students are </w:t>
      </w:r>
      <w:r>
        <w:rPr>
          <w:rFonts w:ascii="Trebuchet MS" w:eastAsia="Trebuchet MS" w:hAnsi="Trebuchet MS" w:cs="Trebuchet MS"/>
          <w:i/>
        </w:rPr>
        <w:t>doing</w:t>
      </w:r>
      <w:r>
        <w:rPr>
          <w:rFonts w:ascii="Trebuchet MS" w:eastAsia="Trebuchet MS" w:hAnsi="Trebuchet MS" w:cs="Trebuchet MS"/>
        </w:rPr>
        <w:t>)</w:t>
      </w:r>
    </w:p>
    <w:p w:rsidR="00CF07C0" w:rsidRDefault="00621A19">
      <w:pPr>
        <w:widowControl w:val="0"/>
        <w:numPr>
          <w:ilvl w:val="3"/>
          <w:numId w:val="1"/>
        </w:numPr>
        <w:spacing w:line="240" w:lineRule="auto"/>
        <w:rPr>
          <w:rFonts w:ascii="Trebuchet MS" w:eastAsia="Trebuchet MS" w:hAnsi="Trebuchet MS" w:cs="Trebuchet MS"/>
        </w:rPr>
      </w:pPr>
      <w:r>
        <w:rPr>
          <w:rFonts w:ascii="Trebuchet MS" w:eastAsia="Trebuchet MS" w:hAnsi="Trebuchet MS" w:cs="Trebuchet MS"/>
        </w:rPr>
        <w:t>What should instruct</w:t>
      </w:r>
      <w:r>
        <w:rPr>
          <w:rFonts w:ascii="Trebuchet MS" w:eastAsia="Trebuchet MS" w:hAnsi="Trebuchet MS" w:cs="Trebuchet MS"/>
        </w:rPr>
        <w:t>ion look like so that students are conducting an investigation?</w:t>
      </w:r>
    </w:p>
    <w:p w:rsidR="00CF07C0" w:rsidRDefault="00621A19">
      <w:pPr>
        <w:widowControl w:val="0"/>
        <w:numPr>
          <w:ilvl w:val="3"/>
          <w:numId w:val="1"/>
        </w:numPr>
        <w:spacing w:line="240" w:lineRule="auto"/>
        <w:rPr>
          <w:rFonts w:ascii="Trebuchet MS" w:eastAsia="Trebuchet MS" w:hAnsi="Trebuchet MS" w:cs="Trebuchet MS"/>
        </w:rPr>
      </w:pPr>
      <w:r>
        <w:rPr>
          <w:rFonts w:ascii="Trebuchet MS" w:eastAsia="Trebuchet MS" w:hAnsi="Trebuchet MS" w:cs="Trebuchet MS"/>
        </w:rPr>
        <w:t>Instruction: Students are provided multiple primary sources to analyze for answering the question: What are the causes and effects of the Vietnam War?”  The teacher collects the primary sources for analysis and facilitates learning stations.</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“Fly In” the i</w:t>
      </w:r>
      <w:r>
        <w:rPr>
          <w:rFonts w:ascii="Trebuchet MS" w:eastAsia="Trebuchet MS" w:hAnsi="Trebuchet MS" w:cs="Trebuchet MS"/>
        </w:rPr>
        <w:t>nstructional idea - Ask: how is this different than “traditional” instruction?</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Display sample standard and read/review the following </w:t>
      </w:r>
    </w:p>
    <w:p w:rsidR="00CF07C0" w:rsidRDefault="00621A19">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Explain to teachers that the instructional shifts may need to occur to effectively address the standards. Take special not</w:t>
      </w:r>
      <w:r>
        <w:rPr>
          <w:rFonts w:ascii="Trebuchet MS" w:eastAsia="Trebuchet MS" w:hAnsi="Trebuchet MS" w:cs="Trebuchet MS"/>
        </w:rPr>
        <w:t>ice of the standards found throughout the standards page(s).</w:t>
      </w:r>
    </w:p>
    <w:p w:rsidR="00CF07C0" w:rsidRDefault="00621A19">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 xml:space="preserve">In this social studies example you will notice that </w:t>
      </w:r>
      <w:r>
        <w:rPr>
          <w:rFonts w:ascii="Trebuchet MS" w:eastAsia="Trebuchet MS" w:hAnsi="Trebuchet MS" w:cs="Trebuchet MS"/>
          <w:b/>
        </w:rPr>
        <w:t>evidence outcomes</w:t>
      </w:r>
      <w:r>
        <w:rPr>
          <w:rFonts w:ascii="Trebuchet MS" w:eastAsia="Trebuchet MS" w:hAnsi="Trebuchet MS" w:cs="Trebuchet MS"/>
        </w:rPr>
        <w:t xml:space="preserve"> a-i focus on students demonstrating various historical thinking skills. In order for students to demonstrate mastery of these</w:t>
      </w:r>
      <w:r>
        <w:rPr>
          <w:rFonts w:ascii="Trebuchet MS" w:eastAsia="Trebuchet MS" w:hAnsi="Trebuchet MS" w:cs="Trebuchet MS"/>
        </w:rPr>
        <w:t xml:space="preserve"> skills, the classroom, teaching strategies, procedures, and practices need to support student practice and demonstration of these skills. As a foundation, a classroom needs to have clear student norms and expectations, a supportive learning environment th</w:t>
      </w:r>
      <w:r>
        <w:rPr>
          <w:rFonts w:ascii="Trebuchet MS" w:eastAsia="Trebuchet MS" w:hAnsi="Trebuchet MS" w:cs="Trebuchet MS"/>
        </w:rPr>
        <w:t xml:space="preserve">at encourages student collaboration. In addition, the instructional shifts that should take place allow for a student centered approach that is accessible, equitable, real, and relevant for all students. </w:t>
      </w:r>
    </w:p>
    <w:p w:rsidR="00CF07C0" w:rsidRDefault="00621A19">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Another aspect of the standards that can inform shi</w:t>
      </w:r>
      <w:r>
        <w:rPr>
          <w:rFonts w:ascii="Trebuchet MS" w:eastAsia="Trebuchet MS" w:hAnsi="Trebuchet MS" w:cs="Trebuchet MS"/>
        </w:rPr>
        <w:t xml:space="preserve">fts in teaching strategies, procedure, and practices is the </w:t>
      </w:r>
      <w:r>
        <w:rPr>
          <w:rFonts w:ascii="Trebuchet MS" w:eastAsia="Trebuchet MS" w:hAnsi="Trebuchet MS" w:cs="Trebuchet MS"/>
          <w:b/>
        </w:rPr>
        <w:t>Academic Content and Connections</w:t>
      </w:r>
      <w:r>
        <w:rPr>
          <w:rFonts w:ascii="Trebuchet MS" w:eastAsia="Trebuchet MS" w:hAnsi="Trebuchet MS" w:cs="Trebuchet MS"/>
        </w:rPr>
        <w:t>. These essential personal and interpersonal skills should be considered when planning for instruction. Other standards content areas have other practices and conte</w:t>
      </w:r>
      <w:r>
        <w:rPr>
          <w:rFonts w:ascii="Trebuchet MS" w:eastAsia="Trebuchet MS" w:hAnsi="Trebuchet MS" w:cs="Trebuchet MS"/>
        </w:rPr>
        <w:t>nt specific skills that should also be considered when teaching.</w:t>
      </w:r>
    </w:p>
    <w:p w:rsidR="00CF07C0" w:rsidRDefault="00CF07C0">
      <w:pPr>
        <w:widowControl w:val="0"/>
        <w:spacing w:before="200" w:line="240" w:lineRule="auto"/>
        <w:ind w:left="2160"/>
        <w:rPr>
          <w:rFonts w:ascii="Trebuchet MS" w:eastAsia="Trebuchet MS" w:hAnsi="Trebuchet MS" w:cs="Trebuchet MS"/>
          <w:highlight w:val="white"/>
        </w:rPr>
      </w:pPr>
    </w:p>
    <w:p w:rsidR="00CF07C0" w:rsidRDefault="00621A19">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Think, Pair, and Share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5-10 minutes</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Have educators work in pairs or small groups (no more than 4) to share their observations and discuss their rationale and wonderings.</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What</w:t>
      </w:r>
      <w:r>
        <w:rPr>
          <w:rFonts w:ascii="Trebuchet MS" w:eastAsia="Trebuchet MS" w:hAnsi="Trebuchet MS" w:cs="Trebuchet MS"/>
        </w:rPr>
        <w:t xml:space="preserve"> are the standards asking students to understand, know, and be able to do?</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Where do you see connections to disciplinary literacy?</w:t>
      </w:r>
    </w:p>
    <w:p w:rsidR="00CF07C0" w:rsidRDefault="00621A19">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How do you see the Colorado Essential Skills being incorporated throughout the document?</w:t>
      </w:r>
    </w:p>
    <w:p w:rsidR="00CF07C0" w:rsidRDefault="00CF07C0">
      <w:pPr>
        <w:widowControl w:val="0"/>
        <w:spacing w:before="200" w:line="240" w:lineRule="auto"/>
        <w:ind w:left="2160"/>
        <w:rPr>
          <w:rFonts w:ascii="Trebuchet MS" w:eastAsia="Trebuchet MS" w:hAnsi="Trebuchet MS" w:cs="Trebuchet MS"/>
        </w:rPr>
      </w:pPr>
    </w:p>
    <w:p w:rsidR="00CF07C0" w:rsidRDefault="00621A19">
      <w:pPr>
        <w:numPr>
          <w:ilvl w:val="0"/>
          <w:numId w:val="1"/>
        </w:numPr>
        <w:rPr>
          <w:sz w:val="24"/>
          <w:szCs w:val="24"/>
        </w:rPr>
      </w:pPr>
      <w:r>
        <w:rPr>
          <w:rFonts w:ascii="Trebuchet MS" w:eastAsia="Trebuchet MS" w:hAnsi="Trebuchet MS" w:cs="Trebuchet MS"/>
          <w:b/>
          <w:sz w:val="24"/>
          <w:szCs w:val="24"/>
        </w:rPr>
        <w:t>Assessment: Twitter Post</w:t>
      </w:r>
      <w:r>
        <w:rPr>
          <w:rFonts w:ascii="Trebuchet MS" w:eastAsia="Trebuchet MS" w:hAnsi="Trebuchet MS" w:cs="Trebuchet MS"/>
          <w:sz w:val="24"/>
          <w:szCs w:val="24"/>
        </w:rPr>
        <w:t xml:space="preserve"> </w:t>
      </w:r>
      <w:proofErr w:type="gramStart"/>
      <w:r>
        <w:rPr>
          <w:rFonts w:ascii="Trebuchet MS" w:eastAsia="Trebuchet MS" w:hAnsi="Trebuchet MS" w:cs="Trebuchet MS"/>
          <w:color w:val="0000FF"/>
          <w:sz w:val="24"/>
          <w:szCs w:val="24"/>
        </w:rPr>
        <w:t>Estimated</w:t>
      </w:r>
      <w:proofErr w:type="gramEnd"/>
      <w:r>
        <w:rPr>
          <w:rFonts w:ascii="Trebuchet MS" w:eastAsia="Trebuchet MS" w:hAnsi="Trebuchet MS" w:cs="Trebuchet MS"/>
          <w:color w:val="0000FF"/>
          <w:sz w:val="24"/>
          <w:szCs w:val="24"/>
        </w:rPr>
        <w:t xml:space="preserve"> time: 2 minutes.</w:t>
      </w:r>
    </w:p>
    <w:p w:rsidR="00CF07C0" w:rsidRDefault="00621A19">
      <w:pPr>
        <w:numPr>
          <w:ilvl w:val="1"/>
          <w:numId w:val="1"/>
        </w:numPr>
        <w:rPr>
          <w:rFonts w:ascii="Trebuchet MS" w:eastAsia="Trebuchet MS" w:hAnsi="Trebuchet MS" w:cs="Trebuchet MS"/>
        </w:rPr>
      </w:pPr>
      <w:r>
        <w:rPr>
          <w:rFonts w:ascii="Trebuchet MS" w:eastAsia="Trebuchet MS" w:hAnsi="Trebuchet MS" w:cs="Trebuchet MS"/>
        </w:rPr>
        <w:t xml:space="preserve">Summarize the important ideas from this module in 140 characters or less! </w:t>
      </w:r>
    </w:p>
    <w:p w:rsidR="00CF07C0" w:rsidRDefault="00621A19">
      <w:pPr>
        <w:numPr>
          <w:ilvl w:val="1"/>
          <w:numId w:val="1"/>
        </w:numPr>
        <w:rPr>
          <w:rFonts w:ascii="Trebuchet MS" w:eastAsia="Trebuchet MS" w:hAnsi="Trebuchet MS" w:cs="Trebuchet MS"/>
        </w:rPr>
      </w:pPr>
      <w:r>
        <w:rPr>
          <w:rFonts w:ascii="Trebuchet MS" w:eastAsia="Trebuchet MS" w:hAnsi="Trebuchet MS" w:cs="Trebuchet MS"/>
        </w:rPr>
        <w:t xml:space="preserve">Educators should capture their response on their </w:t>
      </w:r>
      <w:proofErr w:type="spellStart"/>
      <w:r>
        <w:rPr>
          <w:rFonts w:ascii="Trebuchet MS" w:eastAsia="Trebuchet MS" w:hAnsi="Trebuchet MS" w:cs="Trebuchet MS"/>
        </w:rPr>
        <w:t>notecatcher</w:t>
      </w:r>
      <w:proofErr w:type="spellEnd"/>
    </w:p>
    <w:p w:rsidR="00CF07C0" w:rsidRDefault="00CF07C0">
      <w:pPr>
        <w:widowControl w:val="0"/>
        <w:pBdr>
          <w:top w:val="nil"/>
          <w:left w:val="nil"/>
          <w:bottom w:val="nil"/>
          <w:right w:val="nil"/>
          <w:between w:val="nil"/>
        </w:pBdr>
        <w:spacing w:line="240" w:lineRule="auto"/>
        <w:rPr>
          <w:rFonts w:ascii="Trebuchet MS" w:eastAsia="Trebuchet MS" w:hAnsi="Trebuchet MS" w:cs="Trebuchet MS"/>
        </w:rPr>
      </w:pPr>
    </w:p>
    <w:sectPr w:rsidR="00CF07C0">
      <w:footerReference w:type="default" r:id="rId8"/>
      <w:headerReference w:type="first" r:id="rId9"/>
      <w:footerReference w:type="firs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A19" w:rsidRDefault="00621A19">
      <w:pPr>
        <w:spacing w:line="240" w:lineRule="auto"/>
      </w:pPr>
      <w:r>
        <w:separator/>
      </w:r>
    </w:p>
  </w:endnote>
  <w:endnote w:type="continuationSeparator" w:id="0">
    <w:p w:rsidR="00621A19" w:rsidRDefault="00621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0" w:rsidRDefault="00CF07C0">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0" w:rsidRDefault="00621A19">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CF07C0" w:rsidRDefault="00621A19">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CF07C0" w:rsidRDefault="00621A19">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A19" w:rsidRDefault="00621A19">
      <w:pPr>
        <w:spacing w:line="240" w:lineRule="auto"/>
      </w:pPr>
      <w:r>
        <w:separator/>
      </w:r>
    </w:p>
  </w:footnote>
  <w:footnote w:type="continuationSeparator" w:id="0">
    <w:p w:rsidR="00621A19" w:rsidRDefault="00621A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0" w:rsidRDefault="00CF07C0">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65D8A"/>
    <w:multiLevelType w:val="multilevel"/>
    <w:tmpl w:val="8612E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F047D0"/>
    <w:multiLevelType w:val="multilevel"/>
    <w:tmpl w:val="8C44723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A53087"/>
    <w:multiLevelType w:val="multilevel"/>
    <w:tmpl w:val="BDBEBF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A871F4"/>
    <w:multiLevelType w:val="multilevel"/>
    <w:tmpl w:val="00A039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53B39DF"/>
    <w:multiLevelType w:val="multilevel"/>
    <w:tmpl w:val="B960257C"/>
    <w:lvl w:ilvl="0">
      <w:start w:val="1"/>
      <w:numFmt w:val="decimal"/>
      <w:lvlText w:val="%1."/>
      <w:lvlJc w:val="right"/>
      <w:pPr>
        <w:ind w:left="2160" w:hanging="360"/>
      </w:pPr>
      <w:rPr>
        <w:rFonts w:ascii="Arial" w:eastAsia="Arial" w:hAnsi="Arial" w:cs="Arial"/>
        <w:b w:val="0"/>
        <w:i w:val="0"/>
        <w:smallCaps w:val="0"/>
        <w:strike w:val="0"/>
        <w:color w:val="000000"/>
        <w:sz w:val="48"/>
        <w:szCs w:val="48"/>
        <w:u w:val="none"/>
        <w:shd w:val="clear" w:color="auto" w:fill="auto"/>
        <w:vertAlign w:val="baseline"/>
      </w:rPr>
    </w:lvl>
    <w:lvl w:ilvl="1">
      <w:start w:val="1"/>
      <w:numFmt w:val="lowerLetter"/>
      <w:lvlText w:val="%2."/>
      <w:lvlJc w:val="right"/>
      <w:pPr>
        <w:ind w:left="2880" w:hanging="360"/>
      </w:pPr>
      <w:rPr>
        <w:rFonts w:ascii="Arial" w:eastAsia="Arial" w:hAnsi="Arial" w:cs="Arial"/>
        <w:b w:val="0"/>
        <w:i w:val="0"/>
        <w:smallCaps w:val="0"/>
        <w:strike w:val="0"/>
        <w:color w:val="000000"/>
        <w:sz w:val="40"/>
        <w:szCs w:val="40"/>
        <w:u w:val="none"/>
        <w:shd w:val="clear" w:color="auto" w:fill="auto"/>
        <w:vertAlign w:val="baseline"/>
      </w:rPr>
    </w:lvl>
    <w:lvl w:ilvl="2">
      <w:start w:val="1"/>
      <w:numFmt w:val="lowerRoman"/>
      <w:lvlText w:val="%3."/>
      <w:lvlJc w:val="righ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right"/>
      <w:pPr>
        <w:ind w:left="4320" w:hanging="360"/>
      </w:pPr>
      <w:rPr>
        <w:rFonts w:ascii="Arial" w:eastAsia="Arial" w:hAnsi="Arial" w:cs="Arial"/>
        <w:b w:val="0"/>
        <w:i w:val="0"/>
        <w:smallCaps w:val="0"/>
        <w:strike w:val="0"/>
        <w:color w:val="000000"/>
        <w:sz w:val="32"/>
        <w:szCs w:val="32"/>
        <w:u w:val="none"/>
        <w:shd w:val="clear" w:color="auto" w:fill="auto"/>
        <w:vertAlign w:val="baseline"/>
      </w:rPr>
    </w:lvl>
    <w:lvl w:ilvl="4">
      <w:start w:val="1"/>
      <w:numFmt w:val="lowerLetter"/>
      <w:lvlText w:val="%5."/>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720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7920" w:hanging="360"/>
      </w:pPr>
      <w:rPr>
        <w:rFonts w:ascii="Arial" w:eastAsia="Arial" w:hAnsi="Arial" w:cs="Arial"/>
        <w:b w:val="0"/>
        <w:i w:val="0"/>
        <w:smallCaps w:val="0"/>
        <w:strike w:val="0"/>
        <w:color w:val="000000"/>
        <w:sz w:val="36"/>
        <w:szCs w:val="36"/>
        <w:u w:val="none"/>
        <w:shd w:val="clear" w:color="auto" w:fill="auto"/>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C0"/>
    <w:rsid w:val="004B575B"/>
    <w:rsid w:val="00621A19"/>
    <w:rsid w:val="00CF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A57C5-FCB5-447B-8B95-75B643DD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2019-06-20T14:34:00Z</dcterms:created>
  <dcterms:modified xsi:type="dcterms:W3CDTF">2019-06-20T14:34:00Z</dcterms:modified>
</cp:coreProperties>
</file>