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2C" w:rsidRDefault="00326841">
      <w:pPr>
        <w:pStyle w:val="Title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Name: ___________________________                                    Date: _____________</w:t>
      </w:r>
    </w:p>
    <w:p w:rsidR="00281B2C" w:rsidRDefault="00281B2C"/>
    <w:p w:rsidR="00281B2C" w:rsidRDefault="00326841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Standards Implementation</w:t>
      </w:r>
    </w:p>
    <w:p w:rsidR="00281B2C" w:rsidRDefault="00326841">
      <w:pPr>
        <w:pStyle w:val="Title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Module 12: Shifting Instructional Practices</w:t>
      </w:r>
    </w:p>
    <w:p w:rsidR="00281B2C" w:rsidRDefault="00326841">
      <w:pPr>
        <w:pStyle w:val="Title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Aligning Instruction with 2020 Colorado Academic Standards!   </w:t>
      </w:r>
    </w:p>
    <w:p w:rsidR="00281B2C" w:rsidRDefault="00281B2C">
      <w:pPr>
        <w:rPr>
          <w:b/>
        </w:rPr>
      </w:pPr>
    </w:p>
    <w:p w:rsidR="00281B2C" w:rsidRDefault="00326841">
      <w:pPr>
        <w:spacing w:after="0" w:line="240" w:lineRule="auto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Goals &amp; Objectives:</w:t>
      </w:r>
    </w:p>
    <w:p w:rsidR="00281B2C" w:rsidRDefault="00326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In Phase III of the 2020 CAS Implementation Modules (Modules 12-17), educators will be able to: </w:t>
      </w:r>
    </w:p>
    <w:p w:rsidR="00281B2C" w:rsidRDefault="003268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Identify key instructional shifts that are inherent in the 2020 CAS;</w:t>
      </w:r>
    </w:p>
    <w:p w:rsidR="00281B2C" w:rsidRDefault="003268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Understand the definition and 4 pillars of Best, First Instruction; and, </w:t>
      </w:r>
    </w:p>
    <w:p w:rsidR="00281B2C" w:rsidRDefault="003268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Plan for implementation of Best, First Instruction. </w:t>
      </w:r>
    </w:p>
    <w:p w:rsidR="00281B2C" w:rsidRDefault="0028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</w:rPr>
      </w:pPr>
    </w:p>
    <w:p w:rsidR="00281B2C" w:rsidRDefault="00326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u w:val="single"/>
        </w:rPr>
        <w:t>Disciplinary Literacy Strategies:</w:t>
      </w:r>
    </w:p>
    <w:p w:rsidR="00281B2C" w:rsidRDefault="00326841">
      <w:pPr>
        <w:numPr>
          <w:ilvl w:val="0"/>
          <w:numId w:val="1"/>
        </w:num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“Writing in discipline-specific ways” </w:t>
      </w:r>
    </w:p>
    <w:p w:rsidR="00281B2C" w:rsidRDefault="00326841">
      <w:pPr>
        <w:numPr>
          <w:ilvl w:val="0"/>
          <w:numId w:val="1"/>
        </w:num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Speaking for understanding in content-areas</w:t>
      </w:r>
    </w:p>
    <w:p w:rsidR="00281B2C" w:rsidRDefault="00326841">
      <w:pPr>
        <w:widowControl w:val="0"/>
        <w:spacing w:before="200" w:after="20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u w:val="single"/>
        </w:rPr>
        <w:t>Best, First Instruction is:</w:t>
      </w:r>
      <w:r>
        <w:rPr>
          <w:rFonts w:ascii="Trebuchet MS" w:eastAsia="Trebuchet MS" w:hAnsi="Trebuchet MS" w:cs="Trebuchet MS"/>
        </w:rPr>
        <w:t xml:space="preserve"> </w:t>
      </w:r>
    </w:p>
    <w:p w:rsidR="00281B2C" w:rsidRDefault="00326841">
      <w:pPr>
        <w:widowControl w:val="0"/>
        <w:numPr>
          <w:ilvl w:val="0"/>
          <w:numId w:val="2"/>
        </w:numPr>
        <w:spacing w:after="20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</w:rPr>
        <w:t xml:space="preserve">Designed to meet the needs of all students </w:t>
      </w:r>
    </w:p>
    <w:p w:rsidR="00281B2C" w:rsidRDefault="00326841">
      <w:pPr>
        <w:widowControl w:val="0"/>
        <w:numPr>
          <w:ilvl w:val="0"/>
          <w:numId w:val="2"/>
        </w:numPr>
        <w:spacing w:after="20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</w:rPr>
        <w:t>Deliberate p</w:t>
      </w:r>
      <w:r>
        <w:rPr>
          <w:rFonts w:ascii="Trebuchet MS" w:eastAsia="Trebuchet MS" w:hAnsi="Trebuchet MS" w:cs="Trebuchet MS"/>
        </w:rPr>
        <w:t>lanning, enactment, and reflection</w:t>
      </w:r>
    </w:p>
    <w:p w:rsidR="00281B2C" w:rsidRDefault="00326841">
      <w:pPr>
        <w:widowControl w:val="0"/>
        <w:numPr>
          <w:ilvl w:val="0"/>
          <w:numId w:val="2"/>
        </w:numPr>
        <w:spacing w:after="20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</w:rPr>
        <w:t>The assurance of safe and equitable learning culture</w:t>
      </w:r>
    </w:p>
    <w:p w:rsidR="00281B2C" w:rsidRDefault="00326841">
      <w:pPr>
        <w:widowControl w:val="0"/>
        <w:numPr>
          <w:ilvl w:val="0"/>
          <w:numId w:val="2"/>
        </w:numPr>
        <w:spacing w:after="20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</w:rPr>
        <w:t xml:space="preserve">High-quality, effective, and engaging </w:t>
      </w:r>
    </w:p>
    <w:p w:rsidR="00281B2C" w:rsidRDefault="00326841">
      <w:pPr>
        <w:widowControl w:val="0"/>
        <w:numPr>
          <w:ilvl w:val="0"/>
          <w:numId w:val="2"/>
        </w:numPr>
        <w:spacing w:after="20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</w:rPr>
        <w:t>Students’ first opportunity to learn standards and meet grade-level expectations</w:t>
      </w:r>
    </w:p>
    <w:p w:rsidR="00281B2C" w:rsidRDefault="00326841">
      <w:pPr>
        <w:widowControl w:val="0"/>
        <w:numPr>
          <w:ilvl w:val="0"/>
          <w:numId w:val="2"/>
        </w:numPr>
        <w:spacing w:after="20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</w:rPr>
        <w:t>Aligned to the Colorado Academic Standards</w:t>
      </w:r>
    </w:p>
    <w:p w:rsidR="00281B2C" w:rsidRDefault="00326841">
      <w:pPr>
        <w:widowControl w:val="0"/>
        <w:numPr>
          <w:ilvl w:val="0"/>
          <w:numId w:val="2"/>
        </w:numPr>
        <w:spacing w:after="20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</w:rPr>
        <w:t>Grounded in research-based methodology</w:t>
      </w:r>
    </w:p>
    <w:p w:rsidR="00281B2C" w:rsidRDefault="00326841">
      <w:pPr>
        <w:widowControl w:val="0"/>
        <w:spacing w:before="200" w:after="0" w:line="276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When planning for Best First Instruction (BFI), the foundation requires educators to build meaningful relationships with all students, address individual needs, create relevancy by allowing students to see themselves </w:t>
      </w:r>
      <w:r>
        <w:rPr>
          <w:rFonts w:ascii="Trebuchet MS" w:eastAsia="Trebuchet MS" w:hAnsi="Trebuchet MS" w:cs="Trebuchet MS"/>
        </w:rPr>
        <w:t>in their learning, and provide opportunities for exploration and expression.  The educator also utilizes instructional materials and strategies that reflect the diversity of their classroom.</w:t>
      </w:r>
    </w:p>
    <w:p w:rsidR="00281B2C" w:rsidRDefault="00281B2C">
      <w:pPr>
        <w:widowControl w:val="0"/>
        <w:spacing w:before="200" w:after="0" w:line="276" w:lineRule="auto"/>
        <w:rPr>
          <w:rFonts w:ascii="Trebuchet MS" w:eastAsia="Trebuchet MS" w:hAnsi="Trebuchet MS" w:cs="Trebuchet MS"/>
          <w:sz w:val="24"/>
          <w:szCs w:val="24"/>
        </w:rPr>
      </w:pPr>
    </w:p>
    <w:p w:rsidR="00281B2C" w:rsidRDefault="00326841">
      <w:pPr>
        <w:spacing w:line="240" w:lineRule="auto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u w:val="single"/>
        </w:rPr>
        <w:t>I. With your partner answer the following questions:</w:t>
      </w:r>
      <w:r>
        <w:rPr>
          <w:rFonts w:ascii="Trebuchet MS" w:eastAsia="Trebuchet MS" w:hAnsi="Trebuchet MS" w:cs="Trebuchet MS"/>
          <w:b/>
          <w:u w:val="single"/>
        </w:rPr>
        <w:t xml:space="preserve"> </w:t>
      </w:r>
    </w:p>
    <w:p w:rsidR="00281B2C" w:rsidRDefault="00326841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When you were in X grade (pick a grade), what did the classroom look like? What were your classmates doing? What was the teacher doing? What types of instructional strategies were taking place? </w:t>
      </w:r>
    </w:p>
    <w:p w:rsidR="00281B2C" w:rsidRDefault="00326841">
      <w:pPr>
        <w:spacing w:line="360" w:lineRule="auto"/>
        <w:ind w:left="7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</w:t>
      </w:r>
    </w:p>
    <w:p w:rsidR="00281B2C" w:rsidRDefault="00326841">
      <w:pPr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When considering Best, First Instruction, what do classrooms look like today? What are students doing? </w:t>
      </w:r>
    </w:p>
    <w:p w:rsidR="00281B2C" w:rsidRDefault="00326841">
      <w:pPr>
        <w:spacing w:line="360" w:lineRule="auto"/>
        <w:ind w:left="7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</w:t>
      </w:r>
    </w:p>
    <w:p w:rsidR="00281B2C" w:rsidRDefault="00326841">
      <w:pPr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When considering culturally responsive teaching, how do classrooms look today? 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</w:t>
      </w:r>
    </w:p>
    <w:p w:rsidR="00281B2C" w:rsidRDefault="00326841">
      <w:pPr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 xml:space="preserve">II. After forming a group of 4-6 brainstorm how might the classroom of 2022 be </w:t>
      </w:r>
      <w:r>
        <w:rPr>
          <w:rFonts w:ascii="Trebuchet MS" w:eastAsia="Trebuchet MS" w:hAnsi="Trebuchet MS" w:cs="Trebuchet MS"/>
          <w:u w:val="single"/>
        </w:rPr>
        <w:t>different than today’s classroom when considering culturally responsive teaching and Best, First Instruction?</w:t>
      </w:r>
    </w:p>
    <w:p w:rsidR="00281B2C" w:rsidRDefault="00326841">
      <w:pPr>
        <w:numPr>
          <w:ilvl w:val="0"/>
          <w:numId w:val="5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are students doing?</w:t>
      </w:r>
    </w:p>
    <w:tbl>
      <w:tblPr>
        <w:tblStyle w:val="a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281B2C">
        <w:trPr>
          <w:trHeight w:val="1460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B2C" w:rsidRDefault="0028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  <w:p w:rsidR="00281B2C" w:rsidRDefault="0028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</w:tr>
    </w:tbl>
    <w:p w:rsidR="00281B2C" w:rsidRDefault="00281B2C">
      <w:pPr>
        <w:spacing w:line="360" w:lineRule="auto"/>
        <w:ind w:left="720"/>
        <w:rPr>
          <w:rFonts w:ascii="Trebuchet MS" w:eastAsia="Trebuchet MS" w:hAnsi="Trebuchet MS" w:cs="Trebuchet MS"/>
        </w:rPr>
      </w:pPr>
    </w:p>
    <w:p w:rsidR="00281B2C" w:rsidRDefault="00326841">
      <w:pPr>
        <w:numPr>
          <w:ilvl w:val="0"/>
          <w:numId w:val="5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are teachers doing?</w:t>
      </w:r>
    </w:p>
    <w:tbl>
      <w:tblPr>
        <w:tblStyle w:val="a0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281B2C">
        <w:trPr>
          <w:trHeight w:val="1440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B2C" w:rsidRDefault="00281B2C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</w:tr>
    </w:tbl>
    <w:p w:rsidR="00281B2C" w:rsidRDefault="00281B2C">
      <w:pPr>
        <w:spacing w:line="360" w:lineRule="auto"/>
        <w:ind w:left="720"/>
        <w:rPr>
          <w:rFonts w:ascii="Trebuchet MS" w:eastAsia="Trebuchet MS" w:hAnsi="Trebuchet MS" w:cs="Trebuchet MS"/>
        </w:rPr>
      </w:pPr>
    </w:p>
    <w:p w:rsidR="00281B2C" w:rsidRDefault="00326841">
      <w:pPr>
        <w:numPr>
          <w:ilvl w:val="0"/>
          <w:numId w:val="5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What types of teaching are taking place?</w:t>
      </w:r>
    </w:p>
    <w:tbl>
      <w:tblPr>
        <w:tblStyle w:val="a1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281B2C">
        <w:trPr>
          <w:trHeight w:val="1620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1B2C" w:rsidRDefault="00281B2C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</w:tr>
    </w:tbl>
    <w:p w:rsidR="00281B2C" w:rsidRDefault="00281B2C">
      <w:pPr>
        <w:rPr>
          <w:rFonts w:ascii="Trebuchet MS" w:eastAsia="Trebuchet MS" w:hAnsi="Trebuchet MS" w:cs="Trebuchet MS"/>
        </w:rPr>
      </w:pPr>
    </w:p>
    <w:p w:rsidR="00281B2C" w:rsidRDefault="00326841">
      <w:pPr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III. Reflection</w:t>
      </w:r>
    </w:p>
    <w:p w:rsidR="00281B2C" w:rsidRDefault="00281B2C">
      <w:pPr>
        <w:rPr>
          <w:rFonts w:ascii="Trebuchet MS" w:eastAsia="Trebuchet MS" w:hAnsi="Trebuchet MS" w:cs="Trebuchet MS"/>
        </w:rPr>
      </w:pPr>
    </w:p>
    <w:p w:rsidR="00281B2C" w:rsidRDefault="00326841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Write down 3 points you want to remember about the 2022 classroom.</w:t>
      </w:r>
    </w:p>
    <w:p w:rsidR="00281B2C" w:rsidRDefault="00326841">
      <w:pPr>
        <w:spacing w:line="360" w:lineRule="auto"/>
        <w:ind w:left="7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485775</wp:posOffset>
            </wp:positionH>
            <wp:positionV relativeFrom="paragraph">
              <wp:posOffset>228600</wp:posOffset>
            </wp:positionV>
            <wp:extent cx="461963" cy="461963"/>
            <wp:effectExtent l="0" t="0" r="0" b="0"/>
            <wp:wrapTopAndBottom distT="114300" distB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3" cy="461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81B2C" w:rsidRDefault="00326841">
      <w:pPr>
        <w:spacing w:line="360" w:lineRule="auto"/>
        <w:ind w:left="7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noProof/>
        </w:rPr>
        <w:drawing>
          <wp:inline distT="114300" distB="114300" distL="114300" distR="114300">
            <wp:extent cx="481013" cy="52247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3" cy="522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1B2C" w:rsidRDefault="00326841">
      <w:pPr>
        <w:spacing w:line="360" w:lineRule="auto"/>
        <w:ind w:left="7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_______________________________________________________________________________________________________________________________________________________________________________________________</w:t>
      </w:r>
    </w:p>
    <w:p w:rsidR="00281B2C" w:rsidRDefault="00326841">
      <w:pPr>
        <w:spacing w:line="360" w:lineRule="auto"/>
        <w:ind w:left="7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noProof/>
        </w:rPr>
        <w:drawing>
          <wp:inline distT="114300" distB="114300" distL="114300" distR="114300">
            <wp:extent cx="471488" cy="47148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8" cy="471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1B2C" w:rsidRDefault="00326841">
      <w:pPr>
        <w:spacing w:line="360" w:lineRule="auto"/>
        <w:ind w:left="7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lastRenderedPageBreak/>
        <w:t>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</w:t>
      </w:r>
    </w:p>
    <w:sectPr w:rsidR="00281B2C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E7E68"/>
    <w:multiLevelType w:val="multilevel"/>
    <w:tmpl w:val="793A3502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5C6670"/>
        <w:sz w:val="48"/>
        <w:szCs w:val="4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1" w15:restartNumberingAfterBreak="0">
    <w:nsid w:val="1A9E551A"/>
    <w:multiLevelType w:val="multilevel"/>
    <w:tmpl w:val="F82665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A5126F"/>
    <w:multiLevelType w:val="multilevel"/>
    <w:tmpl w:val="D8B2A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D24A7B"/>
    <w:multiLevelType w:val="multilevel"/>
    <w:tmpl w:val="25EA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C291469"/>
    <w:multiLevelType w:val="multilevel"/>
    <w:tmpl w:val="711483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2C"/>
    <w:rsid w:val="00281B2C"/>
    <w:rsid w:val="0032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F229A3-B626-49D7-9B17-16F54AC4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76" w:lineRule="auto"/>
      <w:jc w:val="center"/>
    </w:pPr>
    <w:rPr>
      <w:rFonts w:ascii="Trebuchet MS" w:eastAsia="Trebuchet MS" w:hAnsi="Trebuchet MS" w:cs="Trebuchet MS"/>
      <w:sz w:val="40"/>
      <w:szCs w:val="40"/>
      <w:highlight w:val="whit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Bruno, Joanna</dc:creator>
  <cp:lastModifiedBy>Bruno, Joanna</cp:lastModifiedBy>
  <cp:revision>2</cp:revision>
  <dcterms:created xsi:type="dcterms:W3CDTF">2019-06-20T14:30:00Z</dcterms:created>
  <dcterms:modified xsi:type="dcterms:W3CDTF">2019-06-20T14:30:00Z</dcterms:modified>
</cp:coreProperties>
</file>