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BC" w:rsidRDefault="007265B6">
      <w:pPr>
        <w:pStyle w:val="Title"/>
        <w:pBdr>
          <w:top w:val="nil"/>
          <w:left w:val="nil"/>
          <w:bottom w:val="nil"/>
          <w:right w:val="nil"/>
          <w:between w:val="nil"/>
        </w:pBdr>
      </w:pPr>
      <w:bookmarkStart w:id="0" w:name="_gjdgxs" w:colFirst="0" w:colLast="0"/>
      <w:bookmarkStart w:id="1" w:name="_GoBack"/>
      <w:bookmarkEnd w:id="0"/>
      <w:bookmarkEnd w:id="1"/>
      <w:r>
        <w:rPr>
          <w:noProof/>
          <w:lang w:val="en-US"/>
        </w:rPr>
        <w:drawing>
          <wp:inline distT="114300" distB="114300" distL="114300" distR="114300">
            <wp:extent cx="3343275" cy="590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6A2CBC" w:rsidRDefault="006A2CBC"/>
    <w:p w:rsidR="006A2CBC" w:rsidRDefault="006A2CBC"/>
    <w:p w:rsidR="006A2CBC" w:rsidRDefault="007265B6">
      <w:pPr>
        <w:pStyle w:val="Title"/>
        <w:pBdr>
          <w:top w:val="nil"/>
          <w:left w:val="nil"/>
          <w:bottom w:val="nil"/>
          <w:right w:val="nil"/>
          <w:between w:val="nil"/>
        </w:pBdr>
      </w:pPr>
      <w:bookmarkStart w:id="2" w:name="_30j0zll" w:colFirst="0" w:colLast="0"/>
      <w:bookmarkEnd w:id="2"/>
      <w:r>
        <w:t>Facilitator’s Implementation Guide for 2020 Colorado Academic Standards:</w:t>
      </w:r>
    </w:p>
    <w:p w:rsidR="006A2CBC" w:rsidRDefault="007265B6">
      <w:pPr>
        <w:pStyle w:val="Title"/>
        <w:pBdr>
          <w:top w:val="nil"/>
          <w:left w:val="nil"/>
          <w:bottom w:val="nil"/>
          <w:right w:val="nil"/>
          <w:between w:val="nil"/>
        </w:pBdr>
      </w:pPr>
      <w:bookmarkStart w:id="3" w:name="_1fob9te" w:colFirst="0" w:colLast="0"/>
      <w:bookmarkEnd w:id="3"/>
      <w:r>
        <w:t>Module 10: Mind the Gap</w:t>
      </w:r>
    </w:p>
    <w:p w:rsidR="006A2CBC" w:rsidRDefault="007265B6">
      <w:pPr>
        <w:widowControl w:val="0"/>
        <w:spacing w:line="240" w:lineRule="auto"/>
        <w:jc w:val="center"/>
      </w:pPr>
      <w:r>
        <w:rPr>
          <w:rFonts w:ascii="Trebuchet MS" w:eastAsia="Trebuchet MS" w:hAnsi="Trebuchet MS" w:cs="Trebuchet MS"/>
          <w:sz w:val="28"/>
          <w:szCs w:val="28"/>
        </w:rPr>
        <w:t>Using Your Analysis of Standards to Understand Gaps and Overlaps in Your Curriculum</w:t>
      </w:r>
    </w:p>
    <w:p w:rsidR="006A2CBC" w:rsidRDefault="006A2CBC">
      <w:pPr>
        <w:pBdr>
          <w:top w:val="nil"/>
          <w:left w:val="nil"/>
          <w:bottom w:val="nil"/>
          <w:right w:val="nil"/>
          <w:between w:val="nil"/>
        </w:pBdr>
      </w:pPr>
    </w:p>
    <w:p w:rsidR="006A2CBC" w:rsidRDefault="007265B6">
      <w:pPr>
        <w:pStyle w:val="Heading1"/>
        <w:pBdr>
          <w:top w:val="nil"/>
          <w:left w:val="nil"/>
          <w:bottom w:val="nil"/>
          <w:right w:val="nil"/>
          <w:between w:val="nil"/>
        </w:pBdr>
      </w:pPr>
      <w:bookmarkStart w:id="4" w:name="_3znysh7" w:colFirst="0" w:colLast="0"/>
      <w:bookmarkEnd w:id="4"/>
      <w:r>
        <w:t>Professional Development Session Overview</w:t>
      </w:r>
    </w:p>
    <w:p w:rsidR="006A2CBC" w:rsidRDefault="006A2CBC"/>
    <w:p w:rsidR="006A2CBC" w:rsidRDefault="007265B6">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was developed to be broadly used with PK-12 teachers and administrators in preparation for the implementation of the 2020 CAS and professional development providers.</w:t>
      </w:r>
    </w:p>
    <w:p w:rsidR="006A2CBC" w:rsidRDefault="006A2CBC">
      <w:pPr>
        <w:pBdr>
          <w:top w:val="nil"/>
          <w:left w:val="nil"/>
          <w:bottom w:val="nil"/>
          <w:right w:val="nil"/>
          <w:between w:val="nil"/>
        </w:pBdr>
        <w:ind w:left="2610" w:hanging="2610"/>
        <w:rPr>
          <w:rFonts w:ascii="Trebuchet MS" w:eastAsia="Trebuchet MS" w:hAnsi="Trebuchet MS" w:cs="Trebuchet MS"/>
          <w:sz w:val="24"/>
          <w:szCs w:val="24"/>
          <w:highlight w:val="white"/>
        </w:rPr>
      </w:pPr>
    </w:p>
    <w:p w:rsidR="006A2CBC" w:rsidRDefault="007265B6">
      <w:pPr>
        <w:pBdr>
          <w:top w:val="nil"/>
          <w:left w:val="nil"/>
          <w:bottom w:val="nil"/>
          <w:right w:val="nil"/>
          <w:between w:val="nil"/>
        </w:pBdr>
        <w:ind w:left="2610" w:hanging="2610"/>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t>In this professional development session, the Office of S</w:t>
      </w:r>
      <w:r>
        <w:rPr>
          <w:rFonts w:ascii="Trebuchet MS" w:eastAsia="Trebuchet MS" w:hAnsi="Trebuchet MS" w:cs="Trebuchet MS"/>
          <w:sz w:val="24"/>
          <w:szCs w:val="24"/>
          <w:highlight w:val="white"/>
        </w:rPr>
        <w:t>tandards &amp; Instructional Support believes educators at all levels must gain a deep understanding of the intentional design principles used to develop the standards. Educators will combine their understanding of standards and current district/school curricu</w:t>
      </w:r>
      <w:r>
        <w:rPr>
          <w:rFonts w:ascii="Trebuchet MS" w:eastAsia="Trebuchet MS" w:hAnsi="Trebuchet MS" w:cs="Trebuchet MS"/>
          <w:sz w:val="24"/>
          <w:szCs w:val="24"/>
          <w:highlight w:val="white"/>
        </w:rPr>
        <w:t>lum to identify existing gaps and overlaps. They will work with their colleagues to understand why the gaps and overlaps so that you (administrative team) may best address them.</w:t>
      </w:r>
    </w:p>
    <w:p w:rsidR="006A2CBC" w:rsidRDefault="006A2CBC">
      <w:pPr>
        <w:pBdr>
          <w:top w:val="nil"/>
          <w:left w:val="nil"/>
          <w:bottom w:val="nil"/>
          <w:right w:val="nil"/>
          <w:between w:val="nil"/>
        </w:pBdr>
        <w:ind w:left="2610" w:hanging="2610"/>
        <w:rPr>
          <w:rFonts w:ascii="Trebuchet MS" w:eastAsia="Trebuchet MS" w:hAnsi="Trebuchet MS" w:cs="Trebuchet MS"/>
          <w:sz w:val="24"/>
          <w:szCs w:val="24"/>
          <w:highlight w:val="white"/>
        </w:rPr>
      </w:pPr>
    </w:p>
    <w:p w:rsidR="006A2CBC" w:rsidRDefault="007265B6">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Presentation Link</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The PowerPoint presentation for this module is within the</w:t>
      </w:r>
      <w:r>
        <w:rPr>
          <w:rFonts w:ascii="Trebuchet MS" w:eastAsia="Trebuchet MS" w:hAnsi="Trebuchet MS" w:cs="Trebuchet MS"/>
          <w:sz w:val="24"/>
          <w:szCs w:val="24"/>
          <w:highlight w:val="white"/>
        </w:rPr>
        <w:t xml:space="preserve"> Learning Management System, Moodle.</w:t>
      </w:r>
    </w:p>
    <w:p w:rsidR="006A2CBC" w:rsidRDefault="006A2CBC">
      <w:pPr>
        <w:pBdr>
          <w:top w:val="nil"/>
          <w:left w:val="nil"/>
          <w:bottom w:val="nil"/>
          <w:right w:val="nil"/>
          <w:between w:val="nil"/>
        </w:pBdr>
        <w:rPr>
          <w:rFonts w:ascii="Trebuchet MS" w:eastAsia="Trebuchet MS" w:hAnsi="Trebuchet MS" w:cs="Trebuchet MS"/>
          <w:sz w:val="24"/>
          <w:szCs w:val="24"/>
          <w:highlight w:val="yellow"/>
        </w:rPr>
      </w:pPr>
    </w:p>
    <w:p w:rsidR="006A2CBC" w:rsidRDefault="007265B6">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 xml:space="preserve">This resource is designed to be delivered in </w:t>
      </w:r>
      <w:r>
        <w:rPr>
          <w:rFonts w:ascii="Trebuchet MS" w:eastAsia="Trebuchet MS" w:hAnsi="Trebuchet MS" w:cs="Trebuchet MS"/>
          <w:sz w:val="24"/>
          <w:szCs w:val="24"/>
        </w:rPr>
        <w:t xml:space="preserve">one 45 minute </w:t>
      </w:r>
      <w:r>
        <w:rPr>
          <w:rFonts w:ascii="Trebuchet MS" w:eastAsia="Trebuchet MS" w:hAnsi="Trebuchet MS" w:cs="Trebuchet MS"/>
          <w:sz w:val="24"/>
          <w:szCs w:val="24"/>
          <w:highlight w:val="white"/>
        </w:rPr>
        <w:t>professional development session. Time guidelines are included in the speaker’s notes on facilitator presentation.</w:t>
      </w:r>
    </w:p>
    <w:p w:rsidR="006A2CBC" w:rsidRDefault="007265B6">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6A2CBC" w:rsidRDefault="007265B6">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Notecatcher</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This sess</w:t>
      </w:r>
      <w:r>
        <w:rPr>
          <w:rFonts w:ascii="Trebuchet MS" w:eastAsia="Trebuchet MS" w:hAnsi="Trebuchet MS" w:cs="Trebuchet MS"/>
          <w:sz w:val="24"/>
          <w:szCs w:val="24"/>
          <w:highlight w:val="white"/>
        </w:rPr>
        <w:t>ion will be guided for participants through the PowerPoint presentation and a notecatcher worksheet. Provide an electronic or printed copy of the notecatcher to all professional development session attendees.</w:t>
      </w:r>
    </w:p>
    <w:p w:rsidR="006A2CBC" w:rsidRDefault="007265B6">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6A2CBC" w:rsidRDefault="007265B6">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Delivery Format</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r>
      <w:r>
        <w:rPr>
          <w:rFonts w:ascii="Trebuchet MS" w:eastAsia="Trebuchet MS" w:hAnsi="Trebuchet MS" w:cs="Trebuchet MS"/>
          <w:sz w:val="24"/>
          <w:szCs w:val="24"/>
        </w:rPr>
        <w:t>This module can be facilit</w:t>
      </w:r>
      <w:r>
        <w:rPr>
          <w:rFonts w:ascii="Trebuchet MS" w:eastAsia="Trebuchet MS" w:hAnsi="Trebuchet MS" w:cs="Trebuchet MS"/>
          <w:sz w:val="24"/>
          <w:szCs w:val="24"/>
        </w:rPr>
        <w:t>ated within a lesson planning period with a Professional Learning Community, be used in conjunction with other modules for a Professional Development Day, for self-directed learning, or added to your district’s Learning Management Platform.</w:t>
      </w:r>
    </w:p>
    <w:p w:rsidR="006A2CBC" w:rsidRDefault="006A2CBC">
      <w:pPr>
        <w:pBdr>
          <w:top w:val="nil"/>
          <w:left w:val="nil"/>
          <w:bottom w:val="nil"/>
          <w:right w:val="nil"/>
          <w:between w:val="nil"/>
        </w:pBdr>
        <w:rPr>
          <w:sz w:val="24"/>
          <w:szCs w:val="24"/>
          <w:highlight w:val="white"/>
        </w:rPr>
      </w:pPr>
    </w:p>
    <w:p w:rsidR="006A2CBC" w:rsidRDefault="007265B6">
      <w:pPr>
        <w:pStyle w:val="Heading1"/>
        <w:pBdr>
          <w:top w:val="nil"/>
          <w:left w:val="nil"/>
          <w:bottom w:val="nil"/>
          <w:right w:val="nil"/>
          <w:between w:val="nil"/>
        </w:pBdr>
      </w:pPr>
      <w:bookmarkStart w:id="5" w:name="_2et92p0" w:colFirst="0" w:colLast="0"/>
      <w:bookmarkEnd w:id="5"/>
      <w:r>
        <w:t>Customizing this Resource to your Local Context &amp; Using Different Delivery Platforms</w:t>
      </w:r>
    </w:p>
    <w:p w:rsidR="006A2CBC" w:rsidRDefault="006A2CBC">
      <w:pPr>
        <w:pBdr>
          <w:top w:val="nil"/>
          <w:left w:val="nil"/>
          <w:bottom w:val="nil"/>
          <w:right w:val="nil"/>
          <w:between w:val="nil"/>
        </w:pBdr>
        <w:rPr>
          <w:sz w:val="21"/>
          <w:szCs w:val="21"/>
          <w:highlight w:val="white"/>
        </w:rPr>
      </w:pPr>
    </w:p>
    <w:p w:rsidR="006A2CBC" w:rsidRDefault="007265B6">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w:t>
      </w:r>
      <w:r>
        <w:rPr>
          <w:rFonts w:ascii="Trebuchet MS" w:eastAsia="Trebuchet MS" w:hAnsi="Trebuchet MS" w:cs="Trebuchet MS"/>
          <w:sz w:val="24"/>
          <w:szCs w:val="24"/>
          <w:highlight w:val="white"/>
        </w:rPr>
        <w:t xml:space="preserve"> will be quickly understood by the audience, (b) highlighting how a particular strategy fits with—or relates to—an existing local approach or system, or (c) connecting the work to local communities or populations that are served.</w:t>
      </w:r>
    </w:p>
    <w:p w:rsidR="006A2CBC" w:rsidRDefault="007265B6">
      <w:pPr>
        <w:pStyle w:val="Heading1"/>
        <w:pBdr>
          <w:top w:val="nil"/>
          <w:left w:val="nil"/>
          <w:bottom w:val="nil"/>
          <w:right w:val="nil"/>
          <w:between w:val="nil"/>
        </w:pBdr>
      </w:pPr>
      <w:bookmarkStart w:id="6" w:name="_tyjcwt" w:colFirst="0" w:colLast="0"/>
      <w:bookmarkEnd w:id="6"/>
      <w:r>
        <w:t>How to Prepare to Use this</w:t>
      </w:r>
      <w:r>
        <w:t xml:space="preserve"> Resource</w:t>
      </w:r>
    </w:p>
    <w:p w:rsidR="006A2CBC" w:rsidRDefault="007265B6">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These are the recommended steps for preparing to use this resource with a group:</w:t>
      </w:r>
    </w:p>
    <w:p w:rsidR="006A2CBC" w:rsidRDefault="007265B6">
      <w:pPr>
        <w:numPr>
          <w:ilvl w:val="0"/>
          <w:numId w:val="3"/>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notecatcher, the speaker notes provided for each slide, and the ref</w:t>
      </w:r>
      <w:r>
        <w:rPr>
          <w:rFonts w:ascii="Trebuchet MS" w:eastAsia="Trebuchet MS" w:hAnsi="Trebuchet MS" w:cs="Trebuchet MS"/>
          <w:sz w:val="24"/>
          <w:szCs w:val="24"/>
          <w:highlight w:val="white"/>
        </w:rPr>
        <w:t>erenced resources.</w:t>
      </w:r>
    </w:p>
    <w:p w:rsidR="006A2CBC" w:rsidRDefault="006A2CBC">
      <w:pPr>
        <w:pBdr>
          <w:top w:val="nil"/>
          <w:left w:val="nil"/>
          <w:bottom w:val="nil"/>
          <w:right w:val="nil"/>
          <w:between w:val="nil"/>
        </w:pBdr>
        <w:rPr>
          <w:rFonts w:ascii="Trebuchet MS" w:eastAsia="Trebuchet MS" w:hAnsi="Trebuchet MS" w:cs="Trebuchet MS"/>
          <w:sz w:val="24"/>
          <w:szCs w:val="24"/>
          <w:highlight w:val="white"/>
        </w:rPr>
      </w:pPr>
    </w:p>
    <w:p w:rsidR="006A2CBC" w:rsidRDefault="007265B6">
      <w:pPr>
        <w:numPr>
          <w:ilvl w:val="0"/>
          <w:numId w:val="3"/>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Make copies or provide an electronic copy of resources referenced in the session.</w:t>
      </w:r>
      <w:r>
        <w:rPr>
          <w:rFonts w:ascii="Trebuchet MS" w:eastAsia="Trebuchet MS" w:hAnsi="Trebuchet MS" w:cs="Trebuchet MS"/>
          <w:sz w:val="24"/>
          <w:szCs w:val="24"/>
          <w:highlight w:val="white"/>
        </w:rPr>
        <w:t xml:space="preserve"> We recommend that you make a copy of the following resource for all participants as a good starting point in the work:</w:t>
      </w:r>
    </w:p>
    <w:p w:rsidR="006A2CBC" w:rsidRDefault="007265B6">
      <w:pPr>
        <w:numPr>
          <w:ilvl w:val="0"/>
          <w:numId w:val="1"/>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Module 10: Mind the Gap Notecatcher</w:t>
      </w:r>
    </w:p>
    <w:p w:rsidR="006A2CBC" w:rsidRDefault="006A2CBC">
      <w:pPr>
        <w:pBdr>
          <w:top w:val="nil"/>
          <w:left w:val="nil"/>
          <w:bottom w:val="nil"/>
          <w:right w:val="nil"/>
          <w:between w:val="nil"/>
        </w:pBdr>
        <w:rPr>
          <w:rFonts w:ascii="Trebuchet MS" w:eastAsia="Trebuchet MS" w:hAnsi="Trebuchet MS" w:cs="Trebuchet MS"/>
          <w:sz w:val="24"/>
          <w:szCs w:val="24"/>
          <w:highlight w:val="white"/>
        </w:rPr>
      </w:pPr>
    </w:p>
    <w:p w:rsidR="006A2CBC" w:rsidRDefault="007265B6">
      <w:pPr>
        <w:numPr>
          <w:ilvl w:val="0"/>
          <w:numId w:val="3"/>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 xml:space="preserve">Plan for assessment. </w:t>
      </w:r>
      <w:r>
        <w:rPr>
          <w:rFonts w:ascii="Trebuchet MS" w:eastAsia="Trebuchet MS" w:hAnsi="Trebuchet MS" w:cs="Trebuchet MS"/>
          <w:sz w:val="24"/>
          <w:szCs w:val="24"/>
          <w:highlight w:val="white"/>
        </w:rPr>
        <w:t xml:space="preserve">You can deliver pre- and post-assessments as needed for your participants. Summative assessments have been provided within the CAS Implementation Facilitator Guide. Please ensure participants complete </w:t>
      </w:r>
      <w:r>
        <w:rPr>
          <w:rFonts w:ascii="Trebuchet MS" w:eastAsia="Trebuchet MS" w:hAnsi="Trebuchet MS" w:cs="Trebuchet MS"/>
          <w:sz w:val="24"/>
          <w:szCs w:val="24"/>
        </w:rPr>
        <w:t>the summative assessment after c</w:t>
      </w:r>
      <w:r>
        <w:rPr>
          <w:rFonts w:ascii="Trebuchet MS" w:eastAsia="Trebuchet MS" w:hAnsi="Trebuchet MS" w:cs="Trebuchet MS"/>
          <w:sz w:val="24"/>
          <w:szCs w:val="24"/>
        </w:rPr>
        <w:t>ompleting Modules 8-11.</w:t>
      </w:r>
    </w:p>
    <w:p w:rsidR="006A2CBC" w:rsidRDefault="006A2CBC">
      <w:pPr>
        <w:pStyle w:val="Heading2"/>
        <w:pBdr>
          <w:top w:val="nil"/>
          <w:left w:val="nil"/>
          <w:bottom w:val="nil"/>
          <w:right w:val="nil"/>
          <w:between w:val="nil"/>
        </w:pBdr>
      </w:pPr>
      <w:bookmarkStart w:id="7" w:name="_3dy6vkm" w:colFirst="0" w:colLast="0"/>
      <w:bookmarkEnd w:id="7"/>
    </w:p>
    <w:p w:rsidR="006A2CBC" w:rsidRDefault="007265B6">
      <w:pPr>
        <w:pStyle w:val="Heading1"/>
        <w:pBdr>
          <w:top w:val="nil"/>
          <w:left w:val="nil"/>
          <w:bottom w:val="nil"/>
          <w:right w:val="nil"/>
          <w:between w:val="nil"/>
        </w:pBdr>
      </w:pPr>
      <w:bookmarkStart w:id="8" w:name="_1t3h5sf" w:colFirst="0" w:colLast="0"/>
      <w:bookmarkEnd w:id="8"/>
      <w:r>
        <w:t>Building a Community and Developing Group Norms</w:t>
      </w:r>
    </w:p>
    <w:p w:rsidR="006A2CBC" w:rsidRDefault="007265B6">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Working to build community and establishing group norms is important for any group that will work together, especially if the participants have not worked together regularly before. Including time in each session for community-building shows participants t</w:t>
      </w:r>
      <w:r>
        <w:rPr>
          <w:rFonts w:ascii="Trebuchet MS" w:eastAsia="Trebuchet MS" w:hAnsi="Trebuchet MS" w:cs="Trebuchet MS"/>
          <w:sz w:val="24"/>
          <w:szCs w:val="24"/>
          <w:highlight w:val="white"/>
        </w:rPr>
        <w:t>hat their time, experiences, and ideas are valuable and engages them as active contributors to the session. It can also help participants to create a network of support for each other’s work. Community-building can be as simple as including time for partic</w:t>
      </w:r>
      <w:r>
        <w:rPr>
          <w:rFonts w:ascii="Trebuchet MS" w:eastAsia="Trebuchet MS" w:hAnsi="Trebuchet MS" w:cs="Trebuchet MS"/>
          <w:sz w:val="24"/>
          <w:szCs w:val="24"/>
          <w:highlight w:val="white"/>
        </w:rPr>
        <w:t>ipants to introduce themselves to each other, or can include more extensive discussion and shared development of group norms. Extensive resources exist to support such work. Here are just a few ideas to get started:</w:t>
      </w:r>
    </w:p>
    <w:p w:rsidR="006A2CBC" w:rsidRDefault="006A2CBC">
      <w:pPr>
        <w:pBdr>
          <w:top w:val="nil"/>
          <w:left w:val="nil"/>
          <w:bottom w:val="nil"/>
          <w:right w:val="nil"/>
          <w:between w:val="nil"/>
        </w:pBdr>
        <w:rPr>
          <w:sz w:val="24"/>
          <w:szCs w:val="24"/>
          <w:highlight w:val="white"/>
        </w:rPr>
      </w:pPr>
    </w:p>
    <w:p w:rsidR="006A2CBC" w:rsidRDefault="007265B6">
      <w:pPr>
        <w:pStyle w:val="Heading2"/>
        <w:pBdr>
          <w:top w:val="nil"/>
          <w:left w:val="nil"/>
          <w:bottom w:val="nil"/>
          <w:right w:val="nil"/>
          <w:between w:val="nil"/>
        </w:pBdr>
      </w:pPr>
      <w:bookmarkStart w:id="9" w:name="_4d34og8" w:colFirst="0" w:colLast="0"/>
      <w:bookmarkEnd w:id="9"/>
      <w:r>
        <w:t>Developing Group Norms</w:t>
      </w:r>
    </w:p>
    <w:p w:rsidR="006A2CBC" w:rsidRDefault="007265B6">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Group norms can </w:t>
      </w:r>
      <w:r>
        <w:rPr>
          <w:rFonts w:ascii="Trebuchet MS" w:eastAsia="Trebuchet MS" w:hAnsi="Trebuchet MS" w:cs="Trebuchet MS"/>
          <w:sz w:val="24"/>
          <w:szCs w:val="24"/>
          <w:highlight w:val="white"/>
        </w:rPr>
        <w:t xml:space="preserve">help to create a safe space where participants feel comfortable sharing their ideas and experiences. Group norms can be developed in several ways: they may be generated and negotiated by the participants, facilitators might generate and post them, or in a </w:t>
      </w:r>
      <w:r>
        <w:rPr>
          <w:rFonts w:ascii="Trebuchet MS" w:eastAsia="Trebuchet MS" w:hAnsi="Trebuchet MS" w:cs="Trebuchet MS"/>
          <w:sz w:val="24"/>
          <w:szCs w:val="24"/>
          <w:highlight w:val="white"/>
        </w:rPr>
        <w:t xml:space="preserve">hybrid model facilitators might seed a “starter” set of norms to be edited by the participants. Some norms may include: </w:t>
      </w:r>
    </w:p>
    <w:p w:rsidR="006A2CBC" w:rsidRDefault="007265B6">
      <w:pPr>
        <w:numPr>
          <w:ilvl w:val="0"/>
          <w:numId w:val="5"/>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lastRenderedPageBreak/>
        <w:t>Assume best intentions</w:t>
      </w:r>
    </w:p>
    <w:p w:rsidR="006A2CBC" w:rsidRDefault="007265B6">
      <w:pPr>
        <w:numPr>
          <w:ilvl w:val="0"/>
          <w:numId w:val="5"/>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rsidR="006A2CBC" w:rsidRDefault="007265B6">
      <w:pPr>
        <w:numPr>
          <w:ilvl w:val="0"/>
          <w:numId w:val="5"/>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6A2CBC" w:rsidRDefault="007265B6">
      <w:pPr>
        <w:numPr>
          <w:ilvl w:val="0"/>
          <w:numId w:val="5"/>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6A2CBC" w:rsidRDefault="007265B6">
      <w:pPr>
        <w:numPr>
          <w:ilvl w:val="0"/>
          <w:numId w:val="5"/>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rsidR="006A2CBC" w:rsidRDefault="007265B6">
      <w:pPr>
        <w:numPr>
          <w:ilvl w:val="0"/>
          <w:numId w:val="5"/>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rsidR="006A2CBC" w:rsidRDefault="006A2CBC">
      <w:pPr>
        <w:pBdr>
          <w:top w:val="nil"/>
          <w:left w:val="nil"/>
          <w:bottom w:val="nil"/>
          <w:right w:val="nil"/>
          <w:between w:val="nil"/>
        </w:pBdr>
        <w:rPr>
          <w:sz w:val="20"/>
          <w:szCs w:val="20"/>
          <w:highlight w:val="white"/>
        </w:rPr>
      </w:pPr>
    </w:p>
    <w:p w:rsidR="006A2CBC" w:rsidRDefault="007265B6">
      <w:pPr>
        <w:pBdr>
          <w:top w:val="nil"/>
          <w:left w:val="nil"/>
          <w:bottom w:val="nil"/>
          <w:right w:val="nil"/>
          <w:between w:val="nil"/>
        </w:pBdr>
        <w:rPr>
          <w:sz w:val="21"/>
          <w:szCs w:val="21"/>
          <w:highlight w:val="white"/>
        </w:rPr>
      </w:pPr>
      <w:r>
        <w:rPr>
          <w:sz w:val="21"/>
          <w:szCs w:val="21"/>
          <w:highlight w:val="white"/>
        </w:rPr>
        <w:t>——————————————————————————————————————————————————</w:t>
      </w:r>
    </w:p>
    <w:p w:rsidR="006A2CBC" w:rsidRDefault="006A2CBC">
      <w:pPr>
        <w:pStyle w:val="Heading2"/>
        <w:jc w:val="left"/>
        <w:rPr>
          <w:b/>
          <w:sz w:val="32"/>
          <w:szCs w:val="32"/>
        </w:rPr>
      </w:pPr>
      <w:bookmarkStart w:id="10" w:name="_2s8eyo1" w:colFirst="0" w:colLast="0"/>
      <w:bookmarkEnd w:id="10"/>
    </w:p>
    <w:p w:rsidR="006A2CBC" w:rsidRDefault="007265B6">
      <w:pPr>
        <w:pStyle w:val="Heading2"/>
        <w:jc w:val="left"/>
      </w:pPr>
      <w:bookmarkStart w:id="11" w:name="_17dp8vu" w:colFirst="0" w:colLast="0"/>
      <w:bookmarkEnd w:id="11"/>
      <w:r>
        <w:rPr>
          <w:b/>
          <w:sz w:val="32"/>
          <w:szCs w:val="32"/>
        </w:rPr>
        <w:t>Discussion Prompts</w:t>
      </w:r>
    </w:p>
    <w:p w:rsidR="006A2CBC" w:rsidRDefault="007265B6">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6A2CBC" w:rsidRDefault="007265B6">
      <w:pPr>
        <w:numPr>
          <w:ilvl w:val="0"/>
          <w:numId w:val="4"/>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What is your prior experi</w:t>
      </w:r>
      <w:r>
        <w:rPr>
          <w:rFonts w:ascii="Trebuchet MS" w:eastAsia="Trebuchet MS" w:hAnsi="Trebuchet MS" w:cs="Trebuchet MS"/>
          <w:sz w:val="24"/>
          <w:szCs w:val="24"/>
          <w:highlight w:val="white"/>
        </w:rPr>
        <w:t xml:space="preserve">ence with today’s topic? </w:t>
      </w:r>
    </w:p>
    <w:p w:rsidR="006A2CBC" w:rsidRDefault="007265B6">
      <w:pPr>
        <w:numPr>
          <w:ilvl w:val="0"/>
          <w:numId w:val="4"/>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do you hope to gain from today’s session? </w:t>
      </w:r>
    </w:p>
    <w:p w:rsidR="006A2CBC" w:rsidRDefault="007265B6">
      <w:pPr>
        <w:numPr>
          <w:ilvl w:val="0"/>
          <w:numId w:val="4"/>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successes or challenges have you experienced in relation to this topic? </w:t>
      </w:r>
    </w:p>
    <w:p w:rsidR="006A2CBC" w:rsidRDefault="006A2CBC">
      <w:pPr>
        <w:pBdr>
          <w:top w:val="nil"/>
          <w:left w:val="nil"/>
          <w:bottom w:val="nil"/>
          <w:right w:val="nil"/>
          <w:between w:val="nil"/>
        </w:pBdr>
        <w:rPr>
          <w:rFonts w:ascii="Impact" w:eastAsia="Impact" w:hAnsi="Impact" w:cs="Impact"/>
          <w:sz w:val="32"/>
          <w:szCs w:val="32"/>
          <w:highlight w:val="white"/>
        </w:rPr>
      </w:pPr>
    </w:p>
    <w:p w:rsidR="006A2CBC" w:rsidRDefault="007265B6">
      <w:pPr>
        <w:pStyle w:val="Heading1"/>
        <w:pBdr>
          <w:top w:val="nil"/>
          <w:left w:val="nil"/>
          <w:bottom w:val="nil"/>
          <w:right w:val="nil"/>
          <w:between w:val="nil"/>
        </w:pBdr>
      </w:pPr>
      <w:bookmarkStart w:id="12" w:name="_3rdcrjn" w:colFirst="0" w:colLast="0"/>
      <w:bookmarkEnd w:id="12"/>
      <w:r>
        <w:t>Presentation Outline with Speaker Notes</w:t>
      </w:r>
    </w:p>
    <w:p w:rsidR="006A2CBC" w:rsidRDefault="007265B6">
      <w:pPr>
        <w:numPr>
          <w:ilvl w:val="0"/>
          <w:numId w:val="2"/>
        </w:numPr>
        <w:pBdr>
          <w:top w:val="nil"/>
          <w:left w:val="nil"/>
          <w:bottom w:val="nil"/>
          <w:right w:val="nil"/>
          <w:between w:val="nil"/>
        </w:pBdr>
      </w:pPr>
      <w:r>
        <w:rPr>
          <w:rFonts w:ascii="Trebuchet MS" w:eastAsia="Trebuchet MS" w:hAnsi="Trebuchet MS" w:cs="Trebuchet MS"/>
          <w:b/>
          <w:sz w:val="24"/>
          <w:szCs w:val="24"/>
        </w:rPr>
        <w:t>Title: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w:t>
      </w:r>
      <w:r>
        <w:rPr>
          <w:rFonts w:ascii="Trebuchet MS" w:eastAsia="Trebuchet MS" w:hAnsi="Trebuchet MS" w:cs="Trebuchet MS"/>
          <w:b/>
          <w:color w:val="0000FF"/>
          <w:sz w:val="24"/>
          <w:szCs w:val="24"/>
        </w:rPr>
        <w:t xml:space="preserve"> </w:t>
      </w:r>
      <w:r>
        <w:rPr>
          <w:rFonts w:ascii="Trebuchet MS" w:eastAsia="Trebuchet MS" w:hAnsi="Trebuchet MS" w:cs="Trebuchet MS"/>
          <w:color w:val="0000FF"/>
          <w:sz w:val="24"/>
          <w:szCs w:val="24"/>
        </w:rPr>
        <w:t>time for Module is 45 minutes</w:t>
      </w:r>
    </w:p>
    <w:p w:rsidR="006A2CBC" w:rsidRDefault="007265B6">
      <w:pPr>
        <w:numPr>
          <w:ilvl w:val="0"/>
          <w:numId w:val="2"/>
        </w:numPr>
      </w:pPr>
      <w:r>
        <w:rPr>
          <w:rFonts w:ascii="Trebuchet MS" w:eastAsia="Trebuchet MS" w:hAnsi="Trebuchet MS" w:cs="Trebuchet MS"/>
          <w:b/>
          <w:sz w:val="24"/>
          <w:szCs w:val="24"/>
        </w:rPr>
        <w:t>Goals and Objectives: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6A2CBC" w:rsidRDefault="007265B6">
      <w:pPr>
        <w:numPr>
          <w:ilvl w:val="1"/>
          <w:numId w:val="2"/>
        </w:numPr>
        <w:rPr>
          <w:rFonts w:ascii="Trebuchet MS" w:eastAsia="Trebuchet MS" w:hAnsi="Trebuchet MS" w:cs="Trebuchet MS"/>
        </w:rPr>
      </w:pPr>
      <w:r>
        <w:rPr>
          <w:rFonts w:ascii="Trebuchet MS" w:eastAsia="Trebuchet MS" w:hAnsi="Trebuchet MS" w:cs="Trebuchet MS"/>
        </w:rPr>
        <w:t>There are two objectives for this session. {Read Slide}</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NOTE: The difference between Module 9 (the green/yellow/red color coding of the standards) and this module is that Module 9 was more about the process of</w:t>
      </w:r>
      <w:r>
        <w:rPr>
          <w:rFonts w:ascii="Trebuchet MS" w:eastAsia="Trebuchet MS" w:hAnsi="Trebuchet MS" w:cs="Trebuchet MS"/>
        </w:rPr>
        <w:t xml:space="preserve"> </w:t>
      </w:r>
      <w:r>
        <w:rPr>
          <w:rFonts w:ascii="Trebuchet MS" w:eastAsia="Trebuchet MS" w:hAnsi="Trebuchet MS" w:cs="Trebuchet MS"/>
          <w:i/>
        </w:rPr>
        <w:t>identifying</w:t>
      </w:r>
      <w:r>
        <w:rPr>
          <w:rFonts w:ascii="Trebuchet MS" w:eastAsia="Trebuchet MS" w:hAnsi="Trebuchet MS" w:cs="Trebuchet MS"/>
        </w:rPr>
        <w:t xml:space="preserve"> and this module is more about the process of </w:t>
      </w:r>
      <w:r>
        <w:rPr>
          <w:rFonts w:ascii="Trebuchet MS" w:eastAsia="Trebuchet MS" w:hAnsi="Trebuchet MS" w:cs="Trebuchet MS"/>
          <w:i/>
        </w:rPr>
        <w:t>analyzing</w:t>
      </w:r>
      <w:r>
        <w:rPr>
          <w:rFonts w:ascii="Trebuchet MS" w:eastAsia="Trebuchet MS" w:hAnsi="Trebuchet MS" w:cs="Trebuchet MS"/>
        </w:rPr>
        <w:t>. To do that analysis, multiple focused conversations with different groups of people are needed to make sense of the gaps and overlaps.</w:t>
      </w:r>
    </w:p>
    <w:p w:rsidR="006A2CBC" w:rsidRDefault="007265B6">
      <w:pPr>
        <w:pBdr>
          <w:top w:val="nil"/>
          <w:left w:val="nil"/>
          <w:bottom w:val="nil"/>
          <w:right w:val="nil"/>
          <w:between w:val="nil"/>
        </w:pBdr>
        <w:ind w:left="360"/>
        <w:rPr>
          <w:rFonts w:ascii="Trebuchet MS" w:eastAsia="Trebuchet MS" w:hAnsi="Trebuchet MS" w:cs="Trebuchet MS"/>
        </w:rPr>
      </w:pPr>
      <w:r>
        <w:rPr>
          <w:rFonts w:ascii="Trebuchet MS" w:eastAsia="Trebuchet MS" w:hAnsi="Trebuchet MS" w:cs="Trebuchet MS"/>
          <w:b/>
          <w:sz w:val="24"/>
          <w:szCs w:val="24"/>
        </w:rPr>
        <w:t xml:space="preserve">Introduction to Gaps and Overlaps </w:t>
      </w:r>
      <w:r>
        <w:rPr>
          <w:rFonts w:ascii="Trebuchet MS" w:eastAsia="Trebuchet MS" w:hAnsi="Trebuchet MS" w:cs="Trebuchet MS"/>
          <w:sz w:val="24"/>
          <w:szCs w:val="24"/>
          <w:highlight w:val="green"/>
        </w:rPr>
        <w:t>Notecatcher Sectio</w:t>
      </w:r>
      <w:r>
        <w:rPr>
          <w:rFonts w:ascii="Trebuchet MS" w:eastAsia="Trebuchet MS" w:hAnsi="Trebuchet MS" w:cs="Trebuchet MS"/>
          <w:sz w:val="24"/>
          <w:szCs w:val="24"/>
          <w:highlight w:val="green"/>
        </w:rPr>
        <w:t>n I “Introduction”.</w:t>
      </w:r>
      <w:r>
        <w:rPr>
          <w:rFonts w:ascii="Trebuchet MS" w:eastAsia="Trebuchet MS" w:hAnsi="Trebuchet MS" w:cs="Trebuchet MS"/>
          <w:sz w:val="24"/>
          <w:szCs w:val="24"/>
        </w:rPr>
        <w:t xml:space="preserve"> | </w:t>
      </w:r>
      <w:r>
        <w:rPr>
          <w:rFonts w:ascii="Trebuchet MS" w:eastAsia="Trebuchet MS" w:hAnsi="Trebuchet MS" w:cs="Trebuchet MS"/>
          <w:color w:val="0000FF"/>
          <w:sz w:val="24"/>
          <w:szCs w:val="24"/>
        </w:rPr>
        <w:t>Estimated time: 1 minute for all slides 3 - 5</w:t>
      </w:r>
    </w:p>
    <w:p w:rsidR="006A2CBC" w:rsidRDefault="007265B6">
      <w:pPr>
        <w:numPr>
          <w:ilvl w:val="0"/>
          <w:numId w:val="2"/>
        </w:numPr>
        <w:pBdr>
          <w:top w:val="nil"/>
          <w:left w:val="nil"/>
          <w:bottom w:val="nil"/>
          <w:right w:val="nil"/>
          <w:between w:val="nil"/>
        </w:pBdr>
      </w:pPr>
      <w:r>
        <w:rPr>
          <w:rFonts w:ascii="Trebuchet MS" w:eastAsia="Trebuchet MS" w:hAnsi="Trebuchet MS" w:cs="Trebuchet MS"/>
          <w:sz w:val="24"/>
          <w:szCs w:val="24"/>
        </w:rPr>
        <w:t>Defines the word “Gaps”.</w:t>
      </w:r>
      <w:r>
        <w:rPr>
          <w:rFonts w:ascii="Trebuchet MS" w:eastAsia="Trebuchet MS" w:hAnsi="Trebuchet MS" w:cs="Trebuchet MS"/>
        </w:rPr>
        <w:t xml:space="preserve"> Read the slide. Educators may write the definition on their notecatcher.</w:t>
      </w:r>
    </w:p>
    <w:p w:rsidR="006A2CBC" w:rsidRDefault="007265B6">
      <w:pPr>
        <w:numPr>
          <w:ilvl w:val="0"/>
          <w:numId w:val="2"/>
        </w:numPr>
        <w:pBdr>
          <w:top w:val="nil"/>
          <w:left w:val="nil"/>
          <w:bottom w:val="nil"/>
          <w:right w:val="nil"/>
          <w:between w:val="nil"/>
        </w:pBdr>
      </w:pPr>
      <w:r>
        <w:rPr>
          <w:rFonts w:ascii="Trebuchet MS" w:eastAsia="Trebuchet MS" w:hAnsi="Trebuchet MS" w:cs="Trebuchet MS"/>
          <w:sz w:val="24"/>
          <w:szCs w:val="24"/>
        </w:rPr>
        <w:t>Defines the word “Overlaps.”</w:t>
      </w:r>
      <w:r>
        <w:rPr>
          <w:rFonts w:ascii="Trebuchet MS" w:eastAsia="Trebuchet MS" w:hAnsi="Trebuchet MS" w:cs="Trebuchet MS"/>
        </w:rPr>
        <w:t xml:space="preserve"> Read the slide. Educators may write the definition on their notecatcher.</w:t>
      </w:r>
    </w:p>
    <w:p w:rsidR="006A2CBC" w:rsidRDefault="007265B6">
      <w:pPr>
        <w:numPr>
          <w:ilvl w:val="0"/>
          <w:numId w:val="2"/>
        </w:numPr>
        <w:pBdr>
          <w:top w:val="nil"/>
          <w:left w:val="nil"/>
          <w:bottom w:val="nil"/>
          <w:right w:val="nil"/>
          <w:between w:val="nil"/>
        </w:pBdr>
      </w:pPr>
      <w:r>
        <w:rPr>
          <w:rFonts w:ascii="Trebuchet MS" w:eastAsia="Trebuchet MS" w:hAnsi="Trebuchet MS" w:cs="Trebuchet MS"/>
          <w:sz w:val="24"/>
          <w:szCs w:val="24"/>
        </w:rPr>
        <w:t xml:space="preserve">Where are your gaps? </w:t>
      </w:r>
      <w:r>
        <w:rPr>
          <w:rFonts w:ascii="Trebuchet MS" w:eastAsia="Trebuchet MS" w:hAnsi="Trebuchet MS" w:cs="Trebuchet MS"/>
        </w:rPr>
        <w:t xml:space="preserve">These questions are meant to be rhetorical at this point. </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Where are your gaps? Your overlaps? Why? </w:t>
      </w:r>
    </w:p>
    <w:p w:rsidR="006A2CBC" w:rsidRDefault="007265B6">
      <w:pPr>
        <w:numPr>
          <w:ilvl w:val="0"/>
          <w:numId w:val="2"/>
        </w:numPr>
        <w:pBdr>
          <w:top w:val="nil"/>
          <w:left w:val="nil"/>
          <w:bottom w:val="nil"/>
          <w:right w:val="nil"/>
          <w:between w:val="nil"/>
        </w:pBdr>
      </w:pPr>
      <w:r>
        <w:rPr>
          <w:rFonts w:ascii="Trebuchet MS" w:eastAsia="Trebuchet MS" w:hAnsi="Trebuchet MS" w:cs="Trebuchet MS"/>
          <w:b/>
          <w:sz w:val="24"/>
          <w:szCs w:val="24"/>
        </w:rPr>
        <w:t>Tips: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3 minutes</w:t>
      </w:r>
    </w:p>
    <w:p w:rsidR="006A2CBC" w:rsidRDefault="007265B6">
      <w:pPr>
        <w:numPr>
          <w:ilvl w:val="1"/>
          <w:numId w:val="2"/>
        </w:numPr>
        <w:pBdr>
          <w:top w:val="nil"/>
          <w:left w:val="nil"/>
          <w:bottom w:val="nil"/>
          <w:right w:val="nil"/>
          <w:between w:val="nil"/>
        </w:pBdr>
      </w:pPr>
      <w:r>
        <w:t>Read the “Do’s” and “Dont’s”</w:t>
      </w:r>
      <w:r>
        <w:t>. Then, check for educator understanding.</w:t>
      </w:r>
    </w:p>
    <w:p w:rsidR="006A2CBC" w:rsidRDefault="007265B6">
      <w:pPr>
        <w:widowControl w:val="0"/>
        <w:numPr>
          <w:ilvl w:val="1"/>
          <w:numId w:val="2"/>
        </w:numPr>
        <w:spacing w:line="240" w:lineRule="auto"/>
        <w:rPr>
          <w:rFonts w:ascii="Trebuchet MS" w:eastAsia="Trebuchet MS" w:hAnsi="Trebuchet MS" w:cs="Trebuchet MS"/>
        </w:rPr>
      </w:pPr>
      <w:r>
        <w:rPr>
          <w:rFonts w:ascii="Trebuchet MS" w:eastAsia="Trebuchet MS" w:hAnsi="Trebuchet MS" w:cs="Trebuchet MS"/>
        </w:rPr>
        <w:t xml:space="preserve">Note: The “little darling” reference comes from this blog post from Tim Erickson, who argued that sometimes your personal love of a topic or lesson does not justify the need to teach it. </w:t>
      </w:r>
      <w:hyperlink r:id="rId9">
        <w:r>
          <w:rPr>
            <w:rFonts w:ascii="Trebuchet MS" w:eastAsia="Trebuchet MS" w:hAnsi="Trebuchet MS" w:cs="Trebuchet MS"/>
            <w:color w:val="1155CC"/>
            <w:u w:val="single"/>
          </w:rPr>
          <w:t>https://bestcase.wordpress.com/2012/09/17/kold-curriculum-killing-the-darlings-in-math/</w:t>
        </w:r>
      </w:hyperlink>
      <w:r>
        <w:rPr>
          <w:rFonts w:ascii="Trebuchet MS" w:eastAsia="Trebuchet MS" w:hAnsi="Trebuchet MS" w:cs="Trebuchet MS"/>
        </w:rPr>
        <w:t xml:space="preserve"> </w:t>
      </w:r>
    </w:p>
    <w:p w:rsidR="006A2CBC" w:rsidRDefault="007265B6">
      <w:p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b/>
          <w:sz w:val="24"/>
          <w:szCs w:val="24"/>
        </w:rPr>
        <w:t>Four Types of Conversations: Looking for Gaps and Overlaps</w:t>
      </w:r>
      <w:r>
        <w:rPr>
          <w:rFonts w:ascii="Trebuchet MS" w:eastAsia="Trebuchet MS" w:hAnsi="Trebuchet MS" w:cs="Trebuchet MS"/>
          <w:sz w:val="24"/>
          <w:szCs w:val="24"/>
        </w:rPr>
        <w:t xml:space="preserve"> </w:t>
      </w:r>
      <w:r>
        <w:rPr>
          <w:rFonts w:ascii="Trebuchet MS" w:eastAsia="Trebuchet MS" w:hAnsi="Trebuchet MS" w:cs="Trebuchet MS"/>
          <w:sz w:val="24"/>
          <w:szCs w:val="24"/>
          <w:highlight w:val="green"/>
        </w:rPr>
        <w:t>Notecatcher Section II “Look</w:t>
      </w:r>
      <w:r>
        <w:rPr>
          <w:rFonts w:ascii="Trebuchet MS" w:eastAsia="Trebuchet MS" w:hAnsi="Trebuchet MS" w:cs="Trebuchet MS"/>
          <w:sz w:val="24"/>
          <w:szCs w:val="24"/>
          <w:highlight w:val="green"/>
        </w:rPr>
        <w:t>ing for Gaps and Overlaps”.</w:t>
      </w:r>
      <w:r>
        <w:rPr>
          <w:rFonts w:ascii="Trebuchet MS" w:eastAsia="Trebuchet MS" w:hAnsi="Trebuchet MS" w:cs="Trebuchet MS"/>
          <w:sz w:val="24"/>
          <w:szCs w:val="24"/>
        </w:rPr>
        <w:t xml:space="preserve"> | </w:t>
      </w:r>
      <w:r>
        <w:rPr>
          <w:rFonts w:ascii="Trebuchet MS" w:eastAsia="Trebuchet MS" w:hAnsi="Trebuchet MS" w:cs="Trebuchet MS"/>
          <w:color w:val="0000FF"/>
          <w:sz w:val="24"/>
          <w:szCs w:val="24"/>
        </w:rPr>
        <w:t>Estimated time: 25-30 minutes</w:t>
      </w:r>
    </w:p>
    <w:p w:rsidR="006A2CBC" w:rsidRDefault="007265B6">
      <w:pPr>
        <w:pBdr>
          <w:top w:val="nil"/>
          <w:left w:val="nil"/>
          <w:bottom w:val="nil"/>
          <w:right w:val="nil"/>
          <w:between w:val="nil"/>
        </w:pBdr>
        <w:ind w:left="720"/>
        <w:rPr>
          <w:rFonts w:ascii="Trebuchet MS" w:eastAsia="Trebuchet MS" w:hAnsi="Trebuchet MS" w:cs="Trebuchet MS"/>
          <w:sz w:val="24"/>
          <w:szCs w:val="24"/>
        </w:rPr>
      </w:pPr>
      <w:r>
        <w:rPr>
          <w:rFonts w:ascii="Trebuchet MS" w:eastAsia="Trebuchet MS" w:hAnsi="Trebuchet MS" w:cs="Trebuchet MS"/>
          <w:sz w:val="24"/>
          <w:szCs w:val="24"/>
        </w:rPr>
        <w:t xml:space="preserve">Slides 7-11 are dedicated for this section. Educators are to capture notes from their conversations on their notecatchers. </w:t>
      </w:r>
    </w:p>
    <w:p w:rsidR="006A2CBC" w:rsidRDefault="007265B6">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 xml:space="preserve">Four Types of Conversations: Looking for Gaps and Overlaps </w:t>
      </w:r>
      <w:r>
        <w:rPr>
          <w:rFonts w:ascii="Trebuchet MS" w:eastAsia="Trebuchet MS" w:hAnsi="Trebuchet MS" w:cs="Trebuchet MS"/>
          <w:color w:val="0000FF"/>
          <w:sz w:val="24"/>
          <w:szCs w:val="24"/>
        </w:rPr>
        <w:t>2 minutes</w:t>
      </w:r>
      <w:r>
        <w:rPr>
          <w:rFonts w:ascii="Trebuchet MS" w:eastAsia="Trebuchet MS" w:hAnsi="Trebuchet MS" w:cs="Trebuchet MS"/>
          <w:color w:val="0000FF"/>
        </w:rPr>
        <w:t xml:space="preserve"> </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lastRenderedPageBreak/>
        <w:t>Provides an overview of the how the conversations in slides 8-11 should be structured. Briefly touch on the structure, explaining that details for each conversation type will be provided on slides 8-11. Then, divide teachers in a manner that will allow for</w:t>
      </w:r>
      <w:r>
        <w:rPr>
          <w:rFonts w:ascii="Trebuchet MS" w:eastAsia="Trebuchet MS" w:hAnsi="Trebuchet MS" w:cs="Trebuchet MS"/>
        </w:rPr>
        <w:t xml:space="preserve"> the first conversation type on slide 8.</w:t>
      </w:r>
    </w:p>
    <w:p w:rsidR="006A2CBC" w:rsidRDefault="007265B6">
      <w:pPr>
        <w:numPr>
          <w:ilvl w:val="2"/>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NOTE: The time these conversations take depends greatly on how many different groupings you, as the facilitator, want to have. For example, you may want math teachers to talk to science teachers and financial litera</w:t>
      </w:r>
      <w:r>
        <w:rPr>
          <w:rFonts w:ascii="Trebuchet MS" w:eastAsia="Trebuchet MS" w:hAnsi="Trebuchet MS" w:cs="Trebuchet MS"/>
        </w:rPr>
        <w:t>cy teachers but also want health teachers to talk to *all* other content areas. It is also going to take some shuffling to give everybody an opportunity to talk to teachers in grades both above and below their level.</w:t>
      </w:r>
    </w:p>
    <w:p w:rsidR="006A2CBC" w:rsidRDefault="007265B6">
      <w:pPr>
        <w:numPr>
          <w:ilvl w:val="2"/>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If the standards for a content area include multiple grades (most HS standards, MS science, etc.), then those teachers need additional time to sort out what is being taught when in those bands, as it most likely involves multiple teachers each teaching cou</w:t>
      </w:r>
      <w:r>
        <w:rPr>
          <w:rFonts w:ascii="Trebuchet MS" w:eastAsia="Trebuchet MS" w:hAnsi="Trebuchet MS" w:cs="Trebuchet MS"/>
        </w:rPr>
        <w:t>rses as part of a sequence.</w:t>
      </w:r>
    </w:p>
    <w:p w:rsidR="006A2CBC" w:rsidRDefault="007265B6">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 xml:space="preserve">Conversation 1: Looking Within One Content Area and Within One Grade </w:t>
      </w:r>
      <w:r>
        <w:rPr>
          <w:rFonts w:ascii="Trebuchet MS" w:eastAsia="Trebuchet MS" w:hAnsi="Trebuchet MS" w:cs="Trebuchet MS"/>
          <w:color w:val="0000FF"/>
          <w:sz w:val="24"/>
          <w:szCs w:val="24"/>
        </w:rPr>
        <w:t>Estimated time 8+ minutes</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Read the slide and check for educator understanding. Provide the time parameters for the discussion. Set a timer. Remind educators to</w:t>
      </w:r>
      <w:r>
        <w:rPr>
          <w:rFonts w:ascii="Trebuchet MS" w:eastAsia="Trebuchet MS" w:hAnsi="Trebuchet MS" w:cs="Trebuchet MS"/>
        </w:rPr>
        <w:t xml:space="preserve"> capture notes from their discussion on their notecatchers. At the end of the discussion, regroup them in a manner that will allow for the second conversation on slide 9.</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The slide includes suggestions to help guide the conversation.</w:t>
      </w:r>
    </w:p>
    <w:p w:rsidR="006A2CBC" w:rsidRDefault="007265B6">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 xml:space="preserve">Conversation 2: Looking Across Multiple Content Areas and Within One Grade </w:t>
      </w:r>
      <w:r>
        <w:rPr>
          <w:rFonts w:ascii="Trebuchet MS" w:eastAsia="Trebuchet MS" w:hAnsi="Trebuchet MS" w:cs="Trebuchet MS"/>
          <w:color w:val="0000FF"/>
          <w:sz w:val="24"/>
          <w:szCs w:val="24"/>
        </w:rPr>
        <w:t>Estimated time 8+ minutes</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Read slide and check for educator understanding. Provide the time parameters for the discussion. Set a timer. Remind educators to capture notes from their </w:t>
      </w:r>
      <w:r>
        <w:rPr>
          <w:rFonts w:ascii="Trebuchet MS" w:eastAsia="Trebuchet MS" w:hAnsi="Trebuchet MS" w:cs="Trebuchet MS"/>
        </w:rPr>
        <w:t xml:space="preserve">discussion on their notecatchers. At the end of the discussion, regroup them in a manner that will allow for the second conversation on slide 10. </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The amount of time this conversation takes is all dependent on how many content areas you think need to group</w:t>
      </w:r>
      <w:r>
        <w:rPr>
          <w:rFonts w:ascii="Trebuchet MS" w:eastAsia="Trebuchet MS" w:hAnsi="Trebuchet MS" w:cs="Trebuchet MS"/>
        </w:rPr>
        <w:t xml:space="preserve"> together. With 12 content areas there are 66 different content pairings so you wouldn’t want to even try to do them all! Be smart and get help from those already familiar with the standards to predict where the most fruitful conversations are likely to ta</w:t>
      </w:r>
      <w:r>
        <w:rPr>
          <w:rFonts w:ascii="Trebuchet MS" w:eastAsia="Trebuchet MS" w:hAnsi="Trebuchet MS" w:cs="Trebuchet MS"/>
        </w:rPr>
        <w:t>ke place.</w:t>
      </w:r>
    </w:p>
    <w:p w:rsidR="006A2CBC" w:rsidRDefault="007265B6">
      <w:pPr>
        <w:numPr>
          <w:ilvl w:val="1"/>
          <w:numId w:val="2"/>
        </w:numPr>
        <w:rPr>
          <w:rFonts w:ascii="Trebuchet MS" w:eastAsia="Trebuchet MS" w:hAnsi="Trebuchet MS" w:cs="Trebuchet MS"/>
        </w:rPr>
      </w:pPr>
      <w:r>
        <w:rPr>
          <w:rFonts w:ascii="Trebuchet MS" w:eastAsia="Trebuchet MS" w:hAnsi="Trebuchet MS" w:cs="Trebuchet MS"/>
        </w:rPr>
        <w:t>The slide includes suggestions to help guide the conversation.</w:t>
      </w:r>
    </w:p>
    <w:p w:rsidR="006A2CBC" w:rsidRDefault="007265B6">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 xml:space="preserve">Conversation 3: Looking Within One Content Area and Across Multiple Grades </w:t>
      </w:r>
      <w:r>
        <w:rPr>
          <w:rFonts w:ascii="Trebuchet MS" w:eastAsia="Trebuchet MS" w:hAnsi="Trebuchet MS" w:cs="Trebuchet MS"/>
          <w:color w:val="0000FF"/>
          <w:sz w:val="24"/>
          <w:szCs w:val="24"/>
        </w:rPr>
        <w:t>Estimated time 8+ minutes</w:t>
      </w:r>
      <w:r>
        <w:rPr>
          <w:rFonts w:ascii="Trebuchet MS" w:eastAsia="Trebuchet MS" w:hAnsi="Trebuchet MS" w:cs="Trebuchet MS"/>
          <w:sz w:val="24"/>
          <w:szCs w:val="24"/>
        </w:rPr>
        <w:t xml:space="preserve"> </w:t>
      </w:r>
      <w:r>
        <w:rPr>
          <w:rFonts w:ascii="Trebuchet MS" w:eastAsia="Trebuchet MS" w:hAnsi="Trebuchet MS" w:cs="Trebuchet MS"/>
        </w:rPr>
        <w:t xml:space="preserve"> </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Read slide and check for educator understanding. Provide the time parameters for</w:t>
      </w:r>
      <w:r>
        <w:rPr>
          <w:rFonts w:ascii="Trebuchet MS" w:eastAsia="Trebuchet MS" w:hAnsi="Trebuchet MS" w:cs="Trebuchet MS"/>
        </w:rPr>
        <w:t xml:space="preserve"> the discussion. Set a timer. Remind educators to capture notes from their discussion on their notecatchers. At the end of the discussion, regroup them in a manner that will allow for the second conversation on slide 11.</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This conversation will also require</w:t>
      </w:r>
      <w:r>
        <w:rPr>
          <w:rFonts w:ascii="Trebuchet MS" w:eastAsia="Trebuchet MS" w:hAnsi="Trebuchet MS" w:cs="Trebuchet MS"/>
        </w:rPr>
        <w:t xml:space="preserve"> some regrouping so each grade gets a chance to see what’s happening in the grade above and the grade below. You may also want to consider inviting teachers from outside your school. For example, the 6th grade teachers in a 6-8 middle school would benefit </w:t>
      </w:r>
      <w:r>
        <w:rPr>
          <w:rFonts w:ascii="Trebuchet MS" w:eastAsia="Trebuchet MS" w:hAnsi="Trebuchet MS" w:cs="Trebuchet MS"/>
        </w:rPr>
        <w:t>from having 5th grade teachers and high school teachers present for this conversation.</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The amount of time this conversation takes is all dependent on how many content areas you think need to group together. With 12 content areas there are 66 different cont</w:t>
      </w:r>
      <w:r>
        <w:rPr>
          <w:rFonts w:ascii="Trebuchet MS" w:eastAsia="Trebuchet MS" w:hAnsi="Trebuchet MS" w:cs="Trebuchet MS"/>
        </w:rPr>
        <w:t xml:space="preserve">ent pairings so you wouldn’t want to even try to do them all! Be smart and get help from those already </w:t>
      </w:r>
      <w:r>
        <w:rPr>
          <w:rFonts w:ascii="Trebuchet MS" w:eastAsia="Trebuchet MS" w:hAnsi="Trebuchet MS" w:cs="Trebuchet MS"/>
        </w:rPr>
        <w:lastRenderedPageBreak/>
        <w:t>familiar with the standards to predict where the most fruitful conversations are likely to take place.</w:t>
      </w:r>
    </w:p>
    <w:p w:rsidR="006A2CBC" w:rsidRDefault="007265B6">
      <w:pPr>
        <w:numPr>
          <w:ilvl w:val="1"/>
          <w:numId w:val="2"/>
        </w:numPr>
        <w:rPr>
          <w:rFonts w:ascii="Trebuchet MS" w:eastAsia="Trebuchet MS" w:hAnsi="Trebuchet MS" w:cs="Trebuchet MS"/>
        </w:rPr>
      </w:pPr>
      <w:r>
        <w:rPr>
          <w:rFonts w:ascii="Trebuchet MS" w:eastAsia="Trebuchet MS" w:hAnsi="Trebuchet MS" w:cs="Trebuchet MS"/>
        </w:rPr>
        <w:t>The slide includes suggestions to help guide the c</w:t>
      </w:r>
      <w:r>
        <w:rPr>
          <w:rFonts w:ascii="Trebuchet MS" w:eastAsia="Trebuchet MS" w:hAnsi="Trebuchet MS" w:cs="Trebuchet MS"/>
        </w:rPr>
        <w:t>onversation.</w:t>
      </w:r>
    </w:p>
    <w:p w:rsidR="006A2CBC" w:rsidRDefault="007265B6">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 xml:space="preserve">Conversation 4: Looking Across Multiple Content Areas and Across Grades </w:t>
      </w:r>
      <w:r>
        <w:rPr>
          <w:rFonts w:ascii="Trebuchet MS" w:eastAsia="Trebuchet MS" w:hAnsi="Trebuchet MS" w:cs="Trebuchet MS"/>
          <w:color w:val="0000FF"/>
          <w:sz w:val="24"/>
          <w:szCs w:val="24"/>
        </w:rPr>
        <w:t>Estimated time 8+ minutes</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Read slide and check for educator understanding. Provide the time parameters for the discussion. Set a timer. Remind educators to capture notes f</w:t>
      </w:r>
      <w:r>
        <w:rPr>
          <w:rFonts w:ascii="Trebuchet MS" w:eastAsia="Trebuchet MS" w:hAnsi="Trebuchet MS" w:cs="Trebuchet MS"/>
        </w:rPr>
        <w:t xml:space="preserve">rom their discussion on their notecatchers. </w:t>
      </w:r>
    </w:p>
    <w:p w:rsidR="006A2CBC" w:rsidRDefault="007265B6">
      <w:pPr>
        <w:numPr>
          <w:ilvl w:val="1"/>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Like Conversation 2, you will need to be strategic about which content areas you choose to group together for this conversation.</w:t>
      </w:r>
    </w:p>
    <w:p w:rsidR="006A2CBC" w:rsidRDefault="007265B6">
      <w:pPr>
        <w:numPr>
          <w:ilvl w:val="1"/>
          <w:numId w:val="2"/>
        </w:numPr>
        <w:rPr>
          <w:rFonts w:ascii="Trebuchet MS" w:eastAsia="Trebuchet MS" w:hAnsi="Trebuchet MS" w:cs="Trebuchet MS"/>
        </w:rPr>
      </w:pPr>
      <w:r>
        <w:rPr>
          <w:rFonts w:ascii="Trebuchet MS" w:eastAsia="Trebuchet MS" w:hAnsi="Trebuchet MS" w:cs="Trebuchet MS"/>
        </w:rPr>
        <w:t>The slide includes suggestions to help guide the conversation.</w:t>
      </w:r>
    </w:p>
    <w:p w:rsidR="006A2CBC" w:rsidRDefault="007265B6">
      <w:pPr>
        <w:numPr>
          <w:ilvl w:val="0"/>
          <w:numId w:val="2"/>
        </w:numPr>
        <w:pBdr>
          <w:top w:val="nil"/>
          <w:left w:val="nil"/>
          <w:bottom w:val="nil"/>
          <w:right w:val="nil"/>
          <w:between w:val="nil"/>
        </w:pBdr>
        <w:rPr>
          <w:color w:val="000000"/>
        </w:rPr>
      </w:pPr>
      <w:r>
        <w:rPr>
          <w:rFonts w:ascii="Trebuchet MS" w:eastAsia="Trebuchet MS" w:hAnsi="Trebuchet MS" w:cs="Trebuchet MS"/>
          <w:b/>
          <w:sz w:val="24"/>
          <w:szCs w:val="24"/>
        </w:rPr>
        <w:t>Wrap-Up/</w:t>
      </w:r>
      <w:r>
        <w:rPr>
          <w:rFonts w:ascii="Trebuchet MS" w:eastAsia="Trebuchet MS" w:hAnsi="Trebuchet MS" w:cs="Trebuchet MS"/>
          <w:b/>
          <w:color w:val="000000"/>
          <w:sz w:val="24"/>
          <w:szCs w:val="24"/>
        </w:rPr>
        <w:t>Next Steps:</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FF"/>
          <w:sz w:val="24"/>
          <w:szCs w:val="24"/>
        </w:rPr>
        <w:t xml:space="preserve">Estimated time: </w:t>
      </w:r>
      <w:r>
        <w:rPr>
          <w:rFonts w:ascii="Trebuchet MS" w:eastAsia="Trebuchet MS" w:hAnsi="Trebuchet MS" w:cs="Trebuchet MS"/>
          <w:color w:val="0000FF"/>
          <w:sz w:val="24"/>
          <w:szCs w:val="24"/>
        </w:rPr>
        <w:t>2-3</w:t>
      </w:r>
      <w:r>
        <w:rPr>
          <w:rFonts w:ascii="Trebuchet MS" w:eastAsia="Trebuchet MS" w:hAnsi="Trebuchet MS" w:cs="Trebuchet MS"/>
          <w:color w:val="0000FF"/>
          <w:sz w:val="24"/>
          <w:szCs w:val="24"/>
        </w:rPr>
        <w:t xml:space="preserve"> </w:t>
      </w:r>
      <w:r>
        <w:rPr>
          <w:rFonts w:ascii="Trebuchet MS" w:eastAsia="Trebuchet MS" w:hAnsi="Trebuchet MS" w:cs="Trebuchet MS"/>
          <w:color w:val="0000FF"/>
          <w:sz w:val="24"/>
          <w:szCs w:val="24"/>
        </w:rPr>
        <w:t>minutes</w:t>
      </w:r>
    </w:p>
    <w:p w:rsidR="006A2CBC" w:rsidRDefault="007265B6">
      <w:pPr>
        <w:numPr>
          <w:ilvl w:val="1"/>
          <w:numId w:val="2"/>
        </w:numPr>
        <w:pBdr>
          <w:top w:val="nil"/>
          <w:left w:val="nil"/>
          <w:bottom w:val="nil"/>
          <w:right w:val="nil"/>
          <w:between w:val="nil"/>
        </w:pBdr>
        <w:rPr>
          <w:rFonts w:ascii="Trebuchet MS" w:eastAsia="Trebuchet MS" w:hAnsi="Trebuchet MS" w:cs="Trebuchet MS"/>
          <w:color w:val="000000"/>
        </w:rPr>
      </w:pPr>
      <w:bookmarkStart w:id="13" w:name="_26in1rg" w:colFirst="0" w:colLast="0"/>
      <w:bookmarkEnd w:id="13"/>
      <w:r>
        <w:rPr>
          <w:rFonts w:ascii="Trebuchet MS" w:eastAsia="Trebuchet MS" w:hAnsi="Trebuchet MS" w:cs="Trebuchet MS"/>
        </w:rPr>
        <w:t>Ask for 2-3 volunteers to share takeaways from their discussions.</w:t>
      </w:r>
    </w:p>
    <w:p w:rsidR="006A2CBC" w:rsidRDefault="007265B6">
      <w:pPr>
        <w:numPr>
          <w:ilvl w:val="1"/>
          <w:numId w:val="2"/>
        </w:numPr>
        <w:pBdr>
          <w:top w:val="nil"/>
          <w:left w:val="nil"/>
          <w:bottom w:val="nil"/>
          <w:right w:val="nil"/>
          <w:between w:val="nil"/>
        </w:pBdr>
        <w:rPr>
          <w:rFonts w:ascii="Trebuchet MS" w:eastAsia="Trebuchet MS" w:hAnsi="Trebuchet MS" w:cs="Trebuchet MS"/>
          <w:color w:val="000000"/>
        </w:rPr>
      </w:pPr>
      <w:bookmarkStart w:id="14" w:name="_ivz7gzqzknv2" w:colFirst="0" w:colLast="0"/>
      <w:bookmarkEnd w:id="14"/>
      <w:r>
        <w:rPr>
          <w:rFonts w:ascii="Trebuchet MS" w:eastAsia="Trebuchet MS" w:hAnsi="Trebuchet MS" w:cs="Trebuchet MS"/>
          <w:color w:val="000000"/>
        </w:rPr>
        <w:t>Read the slide to remind educators that they will need their notes for Module 11</w:t>
      </w:r>
      <w:r>
        <w:rPr>
          <w:rFonts w:ascii="Trebuchet MS" w:eastAsia="Trebuchet MS" w:hAnsi="Trebuchet MS" w:cs="Trebuchet MS"/>
          <w:color w:val="000000"/>
          <w:sz w:val="24"/>
          <w:szCs w:val="24"/>
        </w:rPr>
        <w:t xml:space="preserve">. </w:t>
      </w:r>
    </w:p>
    <w:p w:rsidR="006A2CBC" w:rsidRDefault="007265B6">
      <w:pPr>
        <w:numPr>
          <w:ilvl w:val="0"/>
          <w:numId w:val="2"/>
        </w:numPr>
        <w:pBdr>
          <w:top w:val="nil"/>
          <w:left w:val="nil"/>
          <w:bottom w:val="nil"/>
          <w:right w:val="nil"/>
          <w:between w:val="nil"/>
        </w:pBdr>
        <w:rPr>
          <w:color w:val="000000"/>
        </w:rPr>
      </w:pPr>
      <w:r>
        <w:rPr>
          <w:rFonts w:ascii="Trebuchet MS" w:eastAsia="Trebuchet MS" w:hAnsi="Trebuchet MS" w:cs="Trebuchet MS"/>
          <w:b/>
          <w:color w:val="000000"/>
          <w:sz w:val="24"/>
          <w:szCs w:val="24"/>
        </w:rPr>
        <w:t xml:space="preserve">Questions, Comments, &amp; Concerns: </w:t>
      </w:r>
      <w:r>
        <w:rPr>
          <w:rFonts w:ascii="Trebuchet MS" w:eastAsia="Trebuchet MS" w:hAnsi="Trebuchet MS" w:cs="Trebuchet MS"/>
          <w:color w:val="0000FF"/>
          <w:sz w:val="24"/>
          <w:szCs w:val="24"/>
        </w:rPr>
        <w:t>Estimated time: 2-3 minutes</w:t>
      </w:r>
    </w:p>
    <w:p w:rsidR="006A2CBC" w:rsidRDefault="007265B6">
      <w:pPr>
        <w:numPr>
          <w:ilvl w:val="1"/>
          <w:numId w:val="2"/>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Address any Parking Lot questions, comments, and/or concerns </w:t>
      </w:r>
    </w:p>
    <w:p w:rsidR="006A2CBC" w:rsidRDefault="006A2CBC">
      <w:pPr>
        <w:pBdr>
          <w:top w:val="nil"/>
          <w:left w:val="nil"/>
          <w:bottom w:val="nil"/>
          <w:right w:val="nil"/>
          <w:between w:val="nil"/>
        </w:pBdr>
        <w:spacing w:line="240" w:lineRule="auto"/>
        <w:ind w:left="1440" w:hanging="720"/>
        <w:rPr>
          <w:b/>
          <w:color w:val="000000"/>
          <w:sz w:val="24"/>
          <w:szCs w:val="24"/>
        </w:rPr>
      </w:pPr>
    </w:p>
    <w:p w:rsidR="006A2CBC" w:rsidRDefault="007265B6">
      <w:pPr>
        <w:rPr>
          <w:b/>
          <w:sz w:val="24"/>
          <w:szCs w:val="24"/>
        </w:rPr>
      </w:pPr>
      <w:r>
        <w:rPr>
          <w:sz w:val="24"/>
          <w:szCs w:val="24"/>
        </w:rPr>
        <w:t xml:space="preserve">      </w:t>
      </w:r>
      <w:r>
        <w:rPr>
          <w:b/>
          <w:sz w:val="24"/>
          <w:szCs w:val="24"/>
        </w:rPr>
        <w:t xml:space="preserve"> </w:t>
      </w:r>
    </w:p>
    <w:p w:rsidR="006A2CBC" w:rsidRDefault="007265B6">
      <w:pPr>
        <w:pBdr>
          <w:top w:val="nil"/>
          <w:left w:val="nil"/>
          <w:bottom w:val="nil"/>
          <w:right w:val="nil"/>
          <w:between w:val="nil"/>
        </w:pBdr>
        <w:rPr>
          <w:sz w:val="24"/>
          <w:szCs w:val="24"/>
        </w:rPr>
      </w:pPr>
      <w:r>
        <w:rPr>
          <w:sz w:val="24"/>
          <w:szCs w:val="24"/>
        </w:rPr>
        <w:br/>
      </w:r>
    </w:p>
    <w:p w:rsidR="006A2CBC" w:rsidRDefault="006A2CBC">
      <w:pPr>
        <w:pBdr>
          <w:top w:val="nil"/>
          <w:left w:val="nil"/>
          <w:bottom w:val="nil"/>
          <w:right w:val="nil"/>
          <w:between w:val="nil"/>
        </w:pBdr>
        <w:rPr>
          <w:sz w:val="24"/>
          <w:szCs w:val="24"/>
          <w:highlight w:val="yellow"/>
        </w:rPr>
      </w:pPr>
    </w:p>
    <w:sectPr w:rsidR="006A2CBC">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B6" w:rsidRDefault="007265B6">
      <w:pPr>
        <w:spacing w:line="240" w:lineRule="auto"/>
      </w:pPr>
      <w:r>
        <w:separator/>
      </w:r>
    </w:p>
  </w:endnote>
  <w:endnote w:type="continuationSeparator" w:id="0">
    <w:p w:rsidR="007265B6" w:rsidRDefault="00726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BC" w:rsidRDefault="006A2CBC">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BC" w:rsidRDefault="007265B6">
    <w:pPr>
      <w:pBdr>
        <w:top w:val="nil"/>
        <w:left w:val="nil"/>
        <w:bottom w:val="nil"/>
        <w:right w:val="nil"/>
        <w:between w:val="nil"/>
      </w:pBdr>
      <w:ind w:left="1440"/>
      <w:rPr>
        <w:sz w:val="19"/>
        <w:szCs w:val="19"/>
      </w:rPr>
    </w:pPr>
    <w:r>
      <w:rPr>
        <w:sz w:val="19"/>
        <w:szCs w:val="19"/>
      </w:rPr>
      <w:t>This work is licensed under a Creative Commons Attribution-ShareAlike 4.0 Unported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6A2CBC" w:rsidRDefault="007265B6">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6A2CBC" w:rsidRDefault="007265B6">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B6" w:rsidRDefault="007265B6">
      <w:pPr>
        <w:spacing w:line="240" w:lineRule="auto"/>
      </w:pPr>
      <w:r>
        <w:separator/>
      </w:r>
    </w:p>
  </w:footnote>
  <w:footnote w:type="continuationSeparator" w:id="0">
    <w:p w:rsidR="007265B6" w:rsidRDefault="007265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BC" w:rsidRDefault="006A2CBC">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613"/>
    <w:multiLevelType w:val="multilevel"/>
    <w:tmpl w:val="A85C60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0AC1785"/>
    <w:multiLevelType w:val="multilevel"/>
    <w:tmpl w:val="08FAC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C462DFA"/>
    <w:multiLevelType w:val="multilevel"/>
    <w:tmpl w:val="3DF68E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42A21C1"/>
    <w:multiLevelType w:val="multilevel"/>
    <w:tmpl w:val="506A7C20"/>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rFonts w:ascii="Arial" w:eastAsia="Arial" w:hAnsi="Arial" w:cs="Arial"/>
        <w:b w:val="0"/>
        <w:sz w:val="22"/>
        <w:szCs w:val="22"/>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55D3503"/>
    <w:multiLevelType w:val="multilevel"/>
    <w:tmpl w:val="E4982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A2CBC"/>
    <w:rsid w:val="006A2CBC"/>
    <w:rsid w:val="007265B6"/>
    <w:rsid w:val="00F3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33C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33C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estcase.wordpress.com/2012/09/17/kold-curriculum-killing-the-darlings-in-math/"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2019-02-06T22:01:00Z</dcterms:created>
  <dcterms:modified xsi:type="dcterms:W3CDTF">2019-02-06T22:01:00Z</dcterms:modified>
</cp:coreProperties>
</file>