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A82" w:rsidRDefault="007E1634">
      <w:pPr>
        <w:rPr>
          <w:rFonts w:ascii="Trebuchet MS" w:eastAsia="Trebuchet MS" w:hAnsi="Trebuchet MS" w:cs="Trebuchet MS"/>
        </w:rPr>
      </w:pPr>
      <w:r>
        <w:rPr>
          <w:rFonts w:ascii="Trebuchet MS" w:eastAsia="Trebuchet MS" w:hAnsi="Trebuchet MS" w:cs="Trebuchet MS"/>
          <w:b/>
        </w:rPr>
        <w:t>Name:</w:t>
      </w:r>
      <w:r>
        <w:rPr>
          <w:rFonts w:ascii="Trebuchet MS" w:eastAsia="Trebuchet MS" w:hAnsi="Trebuchet MS" w:cs="Trebuchet MS"/>
        </w:rPr>
        <w:t xml:space="preserve"> _____________________________                                </w:t>
      </w:r>
      <w:r>
        <w:rPr>
          <w:rFonts w:ascii="Trebuchet MS" w:eastAsia="Trebuchet MS" w:hAnsi="Trebuchet MS" w:cs="Trebuchet MS"/>
          <w:b/>
        </w:rPr>
        <w:t xml:space="preserve">  Date:</w:t>
      </w:r>
      <w:r>
        <w:rPr>
          <w:rFonts w:ascii="Trebuchet MS" w:eastAsia="Trebuchet MS" w:hAnsi="Trebuchet MS" w:cs="Trebuchet MS"/>
        </w:rPr>
        <w:t xml:space="preserve"> _________________</w:t>
      </w:r>
    </w:p>
    <w:p w:rsidR="007A0A82" w:rsidRDefault="007A0A82">
      <w:pPr>
        <w:rPr>
          <w:rFonts w:ascii="Trebuchet MS" w:eastAsia="Trebuchet MS" w:hAnsi="Trebuchet MS" w:cs="Trebuchet MS"/>
        </w:rPr>
      </w:pPr>
    </w:p>
    <w:p w:rsidR="007A0A82" w:rsidRDefault="007E1634">
      <w:pPr>
        <w:jc w:val="center"/>
        <w:rPr>
          <w:rFonts w:ascii="Trebuchet MS" w:eastAsia="Trebuchet MS" w:hAnsi="Trebuchet MS" w:cs="Trebuchet MS"/>
          <w:b/>
        </w:rPr>
      </w:pPr>
      <w:r>
        <w:rPr>
          <w:rFonts w:ascii="Trebuchet MS" w:eastAsia="Trebuchet MS" w:hAnsi="Trebuchet MS" w:cs="Trebuchet MS"/>
          <w:b/>
        </w:rPr>
        <w:t>Standards Implementation</w:t>
      </w:r>
    </w:p>
    <w:p w:rsidR="007A0A82" w:rsidRDefault="007E1634">
      <w:pPr>
        <w:jc w:val="center"/>
        <w:rPr>
          <w:rFonts w:ascii="Trebuchet MS" w:eastAsia="Trebuchet MS" w:hAnsi="Trebuchet MS" w:cs="Trebuchet MS"/>
          <w:b/>
        </w:rPr>
      </w:pPr>
      <w:r>
        <w:rPr>
          <w:rFonts w:ascii="Trebuchet MS" w:eastAsia="Trebuchet MS" w:hAnsi="Trebuchet MS" w:cs="Trebuchet MS"/>
          <w:b/>
        </w:rPr>
        <w:t>Module #6: Making Connections</w:t>
      </w:r>
    </w:p>
    <w:p w:rsidR="007A0A82" w:rsidRDefault="007A0A82">
      <w:pPr>
        <w:rPr>
          <w:rFonts w:ascii="Trebuchet MS" w:eastAsia="Trebuchet MS" w:hAnsi="Trebuchet MS" w:cs="Trebuchet MS"/>
        </w:rPr>
      </w:pPr>
    </w:p>
    <w:p w:rsidR="007A0A82" w:rsidRDefault="007E1634">
      <w:pPr>
        <w:rPr>
          <w:rFonts w:ascii="Trebuchet MS" w:eastAsia="Trebuchet MS" w:hAnsi="Trebuchet MS" w:cs="Trebuchet MS"/>
          <w:b/>
          <w:u w:val="single"/>
        </w:rPr>
      </w:pPr>
      <w:r>
        <w:rPr>
          <w:rFonts w:ascii="Trebuchet MS" w:eastAsia="Trebuchet MS" w:hAnsi="Trebuchet MS" w:cs="Trebuchet MS"/>
          <w:b/>
          <w:u w:val="single"/>
        </w:rPr>
        <w:t xml:space="preserve">Goals &amp; Objectives: </w:t>
      </w:r>
    </w:p>
    <w:p w:rsidR="007A0A82" w:rsidRDefault="007E1634">
      <w:pPr>
        <w:widowControl w:val="0"/>
        <w:ind w:left="540"/>
        <w:rPr>
          <w:rFonts w:ascii="Trebuchet MS" w:eastAsia="Trebuchet MS" w:hAnsi="Trebuchet MS" w:cs="Trebuchet MS"/>
        </w:rPr>
      </w:pPr>
      <w:r>
        <w:rPr>
          <w:rFonts w:ascii="Trebuchet MS" w:eastAsia="Trebuchet MS" w:hAnsi="Trebuchet MS" w:cs="Trebuchet MS"/>
        </w:rPr>
        <w:t xml:space="preserve">Educators will be able to demonstrate their understanding of the following through writing and discussion: </w:t>
      </w:r>
    </w:p>
    <w:p w:rsidR="007A0A82" w:rsidRDefault="007E1634">
      <w:pPr>
        <w:widowControl w:val="0"/>
        <w:numPr>
          <w:ilvl w:val="0"/>
          <w:numId w:val="8"/>
        </w:numPr>
        <w:contextualSpacing/>
      </w:pPr>
      <w:r>
        <w:rPr>
          <w:rFonts w:ascii="Trebuchet MS" w:eastAsia="Trebuchet MS" w:hAnsi="Trebuchet MS" w:cs="Trebuchet MS"/>
        </w:rPr>
        <w:t>Delineate which statements regarding Colorado Academic Standards are fact or fiction;</w:t>
      </w:r>
    </w:p>
    <w:p w:rsidR="007A0A82" w:rsidRDefault="007E1634">
      <w:pPr>
        <w:widowControl w:val="0"/>
        <w:numPr>
          <w:ilvl w:val="0"/>
          <w:numId w:val="8"/>
        </w:numPr>
        <w:contextualSpacing/>
      </w:pPr>
      <w:r>
        <w:rPr>
          <w:rFonts w:ascii="Trebuchet MS" w:eastAsia="Trebuchet MS" w:hAnsi="Trebuchet MS" w:cs="Trebuchet MS"/>
        </w:rPr>
        <w:t>Examine the relationship across text features of the 2020 Colo</w:t>
      </w:r>
      <w:r>
        <w:rPr>
          <w:rFonts w:ascii="Trebuchet MS" w:eastAsia="Trebuchet MS" w:hAnsi="Trebuchet MS" w:cs="Trebuchet MS"/>
        </w:rPr>
        <w:t>rado Academic Standards (CAS) document; and</w:t>
      </w:r>
    </w:p>
    <w:p w:rsidR="007A0A82" w:rsidRDefault="007E1634">
      <w:pPr>
        <w:widowControl w:val="0"/>
        <w:numPr>
          <w:ilvl w:val="0"/>
          <w:numId w:val="8"/>
        </w:numPr>
        <w:contextualSpacing/>
      </w:pPr>
      <w:r>
        <w:rPr>
          <w:rFonts w:ascii="Trebuchet MS" w:eastAsia="Trebuchet MS" w:hAnsi="Trebuchet MS" w:cs="Trebuchet MS"/>
        </w:rPr>
        <w:t>Make connections and understand how all text features work together to form the standards.</w:t>
      </w:r>
    </w:p>
    <w:p w:rsidR="007A0A82" w:rsidRDefault="007A0A82">
      <w:pPr>
        <w:rPr>
          <w:rFonts w:ascii="Trebuchet MS" w:eastAsia="Trebuchet MS" w:hAnsi="Trebuchet MS" w:cs="Trebuchet MS"/>
          <w:u w:val="single"/>
        </w:rPr>
      </w:pPr>
    </w:p>
    <w:p w:rsidR="007A0A82" w:rsidRDefault="007E1634">
      <w:pPr>
        <w:rPr>
          <w:rFonts w:ascii="Trebuchet MS" w:eastAsia="Trebuchet MS" w:hAnsi="Trebuchet MS" w:cs="Trebuchet MS"/>
          <w:u w:val="single"/>
        </w:rPr>
      </w:pPr>
      <w:r>
        <w:rPr>
          <w:rFonts w:ascii="Trebuchet MS" w:eastAsia="Trebuchet MS" w:hAnsi="Trebuchet MS" w:cs="Trebuchet MS"/>
          <w:u w:val="single"/>
        </w:rPr>
        <w:t xml:space="preserve">Disciplinary Literacy Strategies: </w:t>
      </w:r>
    </w:p>
    <w:p w:rsidR="007A0A82" w:rsidRDefault="007E1634">
      <w:pPr>
        <w:numPr>
          <w:ilvl w:val="0"/>
          <w:numId w:val="3"/>
        </w:numPr>
        <w:contextualSpacing/>
        <w:rPr>
          <w:rFonts w:ascii="Trebuchet MS" w:eastAsia="Trebuchet MS" w:hAnsi="Trebuchet MS" w:cs="Trebuchet MS"/>
        </w:rPr>
      </w:pPr>
      <w:r>
        <w:rPr>
          <w:rFonts w:ascii="Trebuchet MS" w:eastAsia="Trebuchet MS" w:hAnsi="Trebuchet MS" w:cs="Trebuchet MS"/>
        </w:rPr>
        <w:t>“Writing in discipline-specific ways”</w:t>
      </w:r>
    </w:p>
    <w:p w:rsidR="007A0A82" w:rsidRDefault="007E1634">
      <w:pPr>
        <w:numPr>
          <w:ilvl w:val="0"/>
          <w:numId w:val="3"/>
        </w:numPr>
        <w:contextualSpacing/>
        <w:rPr>
          <w:rFonts w:ascii="Trebuchet MS" w:eastAsia="Trebuchet MS" w:hAnsi="Trebuchet MS" w:cs="Trebuchet MS"/>
        </w:rPr>
      </w:pPr>
      <w:r>
        <w:rPr>
          <w:rFonts w:ascii="Trebuchet MS" w:eastAsia="Trebuchet MS" w:hAnsi="Trebuchet MS" w:cs="Trebuchet MS"/>
        </w:rPr>
        <w:t xml:space="preserve">Speaking for understanding in content-areas </w:t>
      </w:r>
    </w:p>
    <w:p w:rsidR="007A0A82" w:rsidRDefault="007E1634">
      <w:pPr>
        <w:numPr>
          <w:ilvl w:val="0"/>
          <w:numId w:val="3"/>
        </w:numPr>
        <w:contextualSpacing/>
        <w:rPr>
          <w:rFonts w:ascii="Trebuchet MS" w:eastAsia="Trebuchet MS" w:hAnsi="Trebuchet MS" w:cs="Trebuchet MS"/>
        </w:rPr>
      </w:pPr>
      <w:r>
        <w:rPr>
          <w:rFonts w:ascii="Trebuchet MS" w:eastAsia="Trebuchet MS" w:hAnsi="Trebuchet MS" w:cs="Trebuchet MS"/>
        </w:rPr>
        <w:t>Re</w:t>
      </w:r>
      <w:r>
        <w:rPr>
          <w:rFonts w:ascii="Trebuchet MS" w:eastAsia="Trebuchet MS" w:hAnsi="Trebuchet MS" w:cs="Trebuchet MS"/>
        </w:rPr>
        <w:t>ading from the lens/perspective of a subject/content area</w:t>
      </w:r>
    </w:p>
    <w:p w:rsidR="007A0A82" w:rsidRDefault="007A0A82">
      <w:pPr>
        <w:rPr>
          <w:rFonts w:ascii="Trebuchet MS" w:eastAsia="Trebuchet MS" w:hAnsi="Trebuchet MS" w:cs="Trebuchet MS"/>
          <w:u w:val="single"/>
        </w:rPr>
      </w:pPr>
    </w:p>
    <w:p w:rsidR="007A0A82" w:rsidRDefault="007E1634">
      <w:pPr>
        <w:rPr>
          <w:rFonts w:ascii="Trebuchet MS" w:eastAsia="Trebuchet MS" w:hAnsi="Trebuchet MS" w:cs="Trebuchet MS"/>
        </w:rPr>
      </w:pPr>
      <w:r>
        <w:rPr>
          <w:rFonts w:ascii="Trebuchet MS" w:eastAsia="Trebuchet MS" w:hAnsi="Trebuchet MS" w:cs="Trebuchet MS"/>
          <w:b/>
          <w:u w:val="single"/>
        </w:rPr>
        <w:t>Myth Buster Warm-up:</w:t>
      </w:r>
      <w:r>
        <w:rPr>
          <w:rFonts w:ascii="Trebuchet MS" w:eastAsia="Trebuchet MS" w:hAnsi="Trebuchet MS" w:cs="Trebuchet MS"/>
        </w:rPr>
        <w:t xml:space="preserve"> </w:t>
      </w:r>
      <w:r>
        <w:rPr>
          <w:rFonts w:ascii="Arial Unicode MS" w:eastAsia="Arial Unicode MS" w:hAnsi="Arial Unicode MS" w:cs="Arial Unicode MS"/>
        </w:rPr>
        <w:t>Are the statements below True or False? Place a ☑ or a ☒ to indicate your answer.</w:t>
      </w:r>
    </w:p>
    <w:p w:rsidR="007A0A82" w:rsidRDefault="007E1634">
      <w:pPr>
        <w:rPr>
          <w:rFonts w:ascii="Trebuchet MS" w:eastAsia="Trebuchet MS" w:hAnsi="Trebuchet MS" w:cs="Trebuchet MS"/>
        </w:rPr>
      </w:pPr>
      <w:r>
        <w:rPr>
          <w:rFonts w:ascii="Trebuchet MS" w:eastAsia="Trebuchet MS" w:hAnsi="Trebuchet MS" w:cs="Trebuchet MS"/>
        </w:rPr>
        <w:t xml:space="preserve"> </w:t>
      </w:r>
    </w:p>
    <w:tbl>
      <w:tblPr>
        <w:tblStyle w:val="a"/>
        <w:tblW w:w="101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65"/>
        <w:gridCol w:w="7845"/>
        <w:gridCol w:w="795"/>
        <w:gridCol w:w="780"/>
      </w:tblGrid>
      <w:tr w:rsidR="007A0A82" w:rsidTr="007E1634">
        <w:trPr>
          <w:trHeight w:val="141"/>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c>
          <w:tcPr>
            <w:tcW w:w="78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0A82" w:rsidRDefault="007E1634">
            <w:pPr>
              <w:jc w:val="center"/>
              <w:rPr>
                <w:rFonts w:ascii="Trebuchet MS" w:eastAsia="Trebuchet MS" w:hAnsi="Trebuchet MS" w:cs="Trebuchet MS"/>
              </w:rPr>
            </w:pPr>
            <w:r>
              <w:rPr>
                <w:rFonts w:ascii="Trebuchet MS" w:eastAsia="Trebuchet MS" w:hAnsi="Trebuchet MS" w:cs="Trebuchet MS"/>
              </w:rPr>
              <w:t>Statements</w:t>
            </w:r>
          </w:p>
        </w:tc>
        <w:tc>
          <w:tcPr>
            <w:tcW w:w="7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0A82" w:rsidRDefault="007E1634">
            <w:pPr>
              <w:jc w:val="center"/>
              <w:rPr>
                <w:rFonts w:ascii="Trebuchet MS" w:eastAsia="Trebuchet MS" w:hAnsi="Trebuchet MS" w:cs="Trebuchet MS"/>
              </w:rPr>
            </w:pPr>
            <w:r>
              <w:rPr>
                <w:rFonts w:ascii="Trebuchet MS" w:eastAsia="Trebuchet MS" w:hAnsi="Trebuchet MS" w:cs="Trebuchet MS"/>
              </w:rPr>
              <w:t>True</w:t>
            </w:r>
          </w:p>
        </w:tc>
        <w:tc>
          <w:tcPr>
            <w:tcW w:w="7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0A82" w:rsidRDefault="007E1634">
            <w:pPr>
              <w:jc w:val="center"/>
              <w:rPr>
                <w:rFonts w:ascii="Trebuchet MS" w:eastAsia="Trebuchet MS" w:hAnsi="Trebuchet MS" w:cs="Trebuchet MS"/>
              </w:rPr>
            </w:pPr>
            <w:r>
              <w:rPr>
                <w:rFonts w:ascii="Trebuchet MS" w:eastAsia="Trebuchet MS" w:hAnsi="Trebuchet MS" w:cs="Trebuchet MS"/>
              </w:rPr>
              <w:t>False</w:t>
            </w:r>
          </w:p>
        </w:tc>
      </w:tr>
      <w:tr w:rsidR="007A0A82" w:rsidTr="007E1634">
        <w:trPr>
          <w:trHeight w:val="269"/>
        </w:trPr>
        <w:tc>
          <w:tcPr>
            <w:tcW w:w="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0A82" w:rsidRDefault="007E1634">
            <w:pPr>
              <w:rPr>
                <w:rFonts w:ascii="Trebuchet MS" w:eastAsia="Trebuchet MS" w:hAnsi="Trebuchet MS" w:cs="Trebuchet MS"/>
              </w:rPr>
            </w:pPr>
            <w:r>
              <w:rPr>
                <w:rFonts w:ascii="Trebuchet MS" w:eastAsia="Trebuchet MS" w:hAnsi="Trebuchet MS" w:cs="Trebuchet MS"/>
              </w:rPr>
              <w:t xml:space="preserve">1.        </w:t>
            </w:r>
          </w:p>
        </w:tc>
        <w:tc>
          <w:tcPr>
            <w:tcW w:w="784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Common Core State Standards are the same as Colorado Academic Standards</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r>
      <w:tr w:rsidR="007A0A82" w:rsidTr="007E1634">
        <w:trPr>
          <w:trHeight w:val="1403"/>
        </w:trPr>
        <w:tc>
          <w:tcPr>
            <w:tcW w:w="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2.        </w:t>
            </w:r>
          </w:p>
        </w:tc>
        <w:tc>
          <w:tcPr>
            <w:tcW w:w="784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Colorado’s adoption of the Common Core State Standards means there’s tight alignment between the Grade-Level Expectations and Evidence Outcomes for Math and Reading, Writing, and Communicating, but the additional Academic Contexts and Connections section f</w:t>
            </w:r>
            <w:r>
              <w:rPr>
                <w:rFonts w:ascii="Trebuchet MS" w:eastAsia="Trebuchet MS" w:hAnsi="Trebuchet MS" w:cs="Trebuchet MS"/>
              </w:rPr>
              <w:t>ound in Colorado’s standards aren’t found in the Common Core State Standards.</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r>
      <w:tr w:rsidR="007A0A82">
        <w:trPr>
          <w:trHeight w:val="740"/>
        </w:trPr>
        <w:tc>
          <w:tcPr>
            <w:tcW w:w="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3.        </w:t>
            </w:r>
          </w:p>
        </w:tc>
        <w:tc>
          <w:tcPr>
            <w:tcW w:w="784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spacing w:line="276" w:lineRule="auto"/>
              <w:rPr>
                <w:rFonts w:ascii="Trebuchet MS" w:eastAsia="Trebuchet MS" w:hAnsi="Trebuchet MS" w:cs="Trebuchet MS"/>
              </w:rPr>
            </w:pPr>
            <w:r>
              <w:rPr>
                <w:rFonts w:ascii="Trebuchet MS" w:eastAsia="Trebuchet MS" w:hAnsi="Trebuchet MS" w:cs="Trebuchet MS"/>
              </w:rPr>
              <w:t xml:space="preserve">There are power standards, so some are more important than others. With that said, it is best practice to focus on the power standards (i.e., those repeated from grades P-12 and heavily tested on CMAS, PSAT, </w:t>
            </w:r>
            <w:proofErr w:type="spellStart"/>
            <w:r>
              <w:rPr>
                <w:rFonts w:ascii="Trebuchet MS" w:eastAsia="Trebuchet MS" w:hAnsi="Trebuchet MS" w:cs="Trebuchet MS"/>
              </w:rPr>
              <w:t>Accuplacer</w:t>
            </w:r>
            <w:proofErr w:type="spellEnd"/>
            <w:r>
              <w:rPr>
                <w:rFonts w:ascii="Trebuchet MS" w:eastAsia="Trebuchet MS" w:hAnsi="Trebuchet MS" w:cs="Trebuchet MS"/>
              </w:rPr>
              <w:t>, and SAT) and let go of the supplemen</w:t>
            </w:r>
            <w:r>
              <w:rPr>
                <w:rFonts w:ascii="Trebuchet MS" w:eastAsia="Trebuchet MS" w:hAnsi="Trebuchet MS" w:cs="Trebuchet MS"/>
              </w:rPr>
              <w:t>tal standards.</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r>
      <w:tr w:rsidR="007A0A82">
        <w:trPr>
          <w:trHeight w:val="740"/>
        </w:trPr>
        <w:tc>
          <w:tcPr>
            <w:tcW w:w="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4.        </w:t>
            </w:r>
          </w:p>
        </w:tc>
        <w:tc>
          <w:tcPr>
            <w:tcW w:w="784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spacing w:line="276" w:lineRule="auto"/>
              <w:rPr>
                <w:rFonts w:ascii="Trebuchet MS" w:eastAsia="Trebuchet MS" w:hAnsi="Trebuchet MS" w:cs="Trebuchet MS"/>
              </w:rPr>
            </w:pPr>
            <w:r>
              <w:rPr>
                <w:rFonts w:ascii="Trebuchet MS" w:eastAsia="Trebuchet MS" w:hAnsi="Trebuchet MS" w:cs="Trebuchet MS"/>
              </w:rPr>
              <w:t>The standards represent Colorado’s requirements for graduation. Students must demonstrate mastery of them, specifically the skills, concepts, and content in the Prepared Graduate Statements and Grade-Level Expectations in order to graduate.</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r>
      <w:tr w:rsidR="007A0A82">
        <w:trPr>
          <w:trHeight w:val="480"/>
        </w:trPr>
        <w:tc>
          <w:tcPr>
            <w:tcW w:w="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5.        </w:t>
            </w:r>
          </w:p>
        </w:tc>
        <w:tc>
          <w:tcPr>
            <w:tcW w:w="784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spacing w:line="276" w:lineRule="auto"/>
              <w:rPr>
                <w:rFonts w:ascii="Trebuchet MS" w:eastAsia="Trebuchet MS" w:hAnsi="Trebuchet MS" w:cs="Trebuchet MS"/>
              </w:rPr>
            </w:pPr>
            <w:r>
              <w:rPr>
                <w:rFonts w:ascii="Trebuchet MS" w:eastAsia="Trebuchet MS" w:hAnsi="Trebuchet MS" w:cs="Trebuchet MS"/>
              </w:rPr>
              <w:t xml:space="preserve">Colorado’s state-level graduation requirements are represented by the graduation guidelines, not standards. However, standards are “the academic bar” that determines what students must know, understand, and be able to do. Students who can demonstrate the </w:t>
            </w:r>
            <w:r>
              <w:rPr>
                <w:rFonts w:ascii="Trebuchet MS" w:eastAsia="Trebuchet MS" w:hAnsi="Trebuchet MS" w:cs="Trebuchet MS"/>
              </w:rPr>
              <w:t>skills, concepts, and content within standards are better prepared to participate and compete in college and the workforce.</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p w:rsidR="007A0A82" w:rsidRDefault="007A0A82">
            <w:pPr>
              <w:widowControl w:val="0"/>
              <w:pBdr>
                <w:top w:val="nil"/>
                <w:left w:val="nil"/>
                <w:bottom w:val="nil"/>
                <w:right w:val="nil"/>
                <w:between w:val="nil"/>
              </w:pBdr>
              <w:spacing w:line="276" w:lineRule="auto"/>
              <w:rPr>
                <w:rFonts w:ascii="Trebuchet MS" w:eastAsia="Trebuchet MS" w:hAnsi="Trebuchet MS" w:cs="Trebuchet MS"/>
              </w:rPr>
            </w:pP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r>
      <w:tr w:rsidR="007A0A82">
        <w:trPr>
          <w:trHeight w:val="740"/>
        </w:trPr>
        <w:tc>
          <w:tcPr>
            <w:tcW w:w="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lastRenderedPageBreak/>
              <w:t xml:space="preserve">6.        </w:t>
            </w:r>
          </w:p>
        </w:tc>
        <w:tc>
          <w:tcPr>
            <w:tcW w:w="784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spacing w:line="276" w:lineRule="auto"/>
              <w:rPr>
                <w:rFonts w:ascii="Trebuchet MS" w:eastAsia="Trebuchet MS" w:hAnsi="Trebuchet MS" w:cs="Trebuchet MS"/>
              </w:rPr>
            </w:pPr>
            <w:r>
              <w:rPr>
                <w:rFonts w:ascii="Trebuchet MS" w:eastAsia="Trebuchet MS" w:hAnsi="Trebuchet MS" w:cs="Trebuchet MS"/>
              </w:rPr>
              <w:t>The Evidence Outcomes in the Colorado Academic Standards can be made into a checklist to cover them as learning goals (e.g., using one Evidence Outcome per lesson or creating a rubric using the Evidence Outcomes).</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r>
      <w:tr w:rsidR="007A0A82" w:rsidTr="007E1634">
        <w:trPr>
          <w:trHeight w:val="710"/>
        </w:trPr>
        <w:tc>
          <w:tcPr>
            <w:tcW w:w="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7.        </w:t>
            </w:r>
          </w:p>
        </w:tc>
        <w:tc>
          <w:tcPr>
            <w:tcW w:w="784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spacing w:line="276" w:lineRule="auto"/>
              <w:rPr>
                <w:rFonts w:ascii="Trebuchet MS" w:eastAsia="Trebuchet MS" w:hAnsi="Trebuchet MS" w:cs="Trebuchet MS"/>
              </w:rPr>
            </w:pPr>
            <w:r>
              <w:rPr>
                <w:rFonts w:ascii="Trebuchet MS" w:eastAsia="Trebuchet MS" w:hAnsi="Trebuchet MS" w:cs="Trebuchet MS"/>
              </w:rPr>
              <w:t>The Evidence Outcomes are just a few examples of students demonstrating mastery, but are not required.</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7A0A82" w:rsidRDefault="007E1634">
            <w:pPr>
              <w:widowControl w:val="0"/>
              <w:pBdr>
                <w:top w:val="nil"/>
                <w:left w:val="nil"/>
                <w:bottom w:val="nil"/>
                <w:right w:val="nil"/>
                <w:between w:val="nil"/>
              </w:pBdr>
              <w:spacing w:line="276" w:lineRule="auto"/>
              <w:rPr>
                <w:rFonts w:ascii="Trebuchet MS" w:eastAsia="Trebuchet MS" w:hAnsi="Trebuchet MS" w:cs="Trebuchet MS"/>
              </w:rPr>
            </w:pPr>
            <w:r>
              <w:rPr>
                <w:rFonts w:ascii="Trebuchet MS" w:eastAsia="Trebuchet MS" w:hAnsi="Trebuchet MS" w:cs="Trebuchet MS"/>
              </w:rPr>
              <w:t xml:space="preserve"> </w:t>
            </w:r>
          </w:p>
        </w:tc>
      </w:tr>
    </w:tbl>
    <w:p w:rsidR="007A0A82" w:rsidRDefault="007A0A82">
      <w:pPr>
        <w:rPr>
          <w:rFonts w:ascii="Trebuchet MS" w:eastAsia="Trebuchet MS" w:hAnsi="Trebuchet MS" w:cs="Trebuchet MS"/>
        </w:rPr>
      </w:pPr>
    </w:p>
    <w:p w:rsidR="007A0A82" w:rsidRDefault="007E1634">
      <w:pPr>
        <w:rPr>
          <w:rFonts w:ascii="Trebuchet MS" w:eastAsia="Trebuchet MS" w:hAnsi="Trebuchet MS" w:cs="Trebuchet MS"/>
          <w:b/>
          <w:u w:val="single"/>
        </w:rPr>
      </w:pPr>
      <w:r>
        <w:rPr>
          <w:rFonts w:ascii="Trebuchet MS" w:eastAsia="Trebuchet MS" w:hAnsi="Trebuchet MS" w:cs="Trebuchet MS"/>
        </w:rPr>
        <w:t xml:space="preserve"> </w:t>
      </w:r>
      <w:r>
        <w:rPr>
          <w:rFonts w:ascii="Trebuchet MS" w:eastAsia="Trebuchet MS" w:hAnsi="Trebuchet MS" w:cs="Trebuchet MS"/>
          <w:b/>
          <w:u w:val="single"/>
        </w:rPr>
        <w:t>I. What are the three design principles for the CAS?</w:t>
      </w:r>
    </w:p>
    <w:p w:rsidR="007A0A82" w:rsidRDefault="007A0A82">
      <w:pPr>
        <w:spacing w:after="120"/>
        <w:rPr>
          <w:rFonts w:ascii="Trebuchet MS" w:eastAsia="Trebuchet MS" w:hAnsi="Trebuchet MS" w:cs="Trebuchet MS"/>
          <w:u w:val="single"/>
        </w:rPr>
      </w:pPr>
    </w:p>
    <w:tbl>
      <w:tblPr>
        <w:tblStyle w:val="a0"/>
        <w:tblW w:w="102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9615"/>
      </w:tblGrid>
      <w:tr w:rsidR="007A0A82">
        <w:trPr>
          <w:trHeight w:val="1020"/>
        </w:trPr>
        <w:tc>
          <w:tcPr>
            <w:tcW w:w="600" w:type="dxa"/>
            <w:shd w:val="clear" w:color="auto" w:fill="auto"/>
            <w:tcMar>
              <w:top w:w="100" w:type="dxa"/>
              <w:left w:w="100" w:type="dxa"/>
              <w:bottom w:w="100" w:type="dxa"/>
              <w:right w:w="100" w:type="dxa"/>
            </w:tcMar>
          </w:tcPr>
          <w:p w:rsidR="007A0A82" w:rsidRDefault="007E1634">
            <w:pPr>
              <w:widowControl w:val="0"/>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1</w:t>
            </w:r>
          </w:p>
        </w:tc>
        <w:tc>
          <w:tcPr>
            <w:tcW w:w="9615" w:type="dxa"/>
            <w:shd w:val="clear" w:color="auto" w:fill="auto"/>
            <w:tcMar>
              <w:top w:w="100" w:type="dxa"/>
              <w:left w:w="100" w:type="dxa"/>
              <w:bottom w:w="100" w:type="dxa"/>
              <w:right w:w="100" w:type="dxa"/>
            </w:tcMar>
          </w:tcPr>
          <w:p w:rsidR="007A0A82" w:rsidRDefault="007A0A82">
            <w:pPr>
              <w:widowControl w:val="0"/>
              <w:pBdr>
                <w:top w:val="nil"/>
                <w:left w:val="nil"/>
                <w:bottom w:val="nil"/>
                <w:right w:val="nil"/>
                <w:between w:val="nil"/>
              </w:pBdr>
              <w:rPr>
                <w:rFonts w:ascii="Trebuchet MS" w:eastAsia="Trebuchet MS" w:hAnsi="Trebuchet MS" w:cs="Trebuchet MS"/>
                <w:u w:val="single"/>
              </w:rPr>
            </w:pPr>
          </w:p>
        </w:tc>
      </w:tr>
      <w:tr w:rsidR="007A0A82">
        <w:trPr>
          <w:trHeight w:val="980"/>
        </w:trPr>
        <w:tc>
          <w:tcPr>
            <w:tcW w:w="600" w:type="dxa"/>
            <w:shd w:val="clear" w:color="auto" w:fill="auto"/>
            <w:tcMar>
              <w:top w:w="100" w:type="dxa"/>
              <w:left w:w="100" w:type="dxa"/>
              <w:bottom w:w="100" w:type="dxa"/>
              <w:right w:w="100" w:type="dxa"/>
            </w:tcMar>
          </w:tcPr>
          <w:p w:rsidR="007A0A82" w:rsidRDefault="007E1634">
            <w:pPr>
              <w:widowControl w:val="0"/>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2</w:t>
            </w:r>
          </w:p>
        </w:tc>
        <w:tc>
          <w:tcPr>
            <w:tcW w:w="9615" w:type="dxa"/>
            <w:shd w:val="clear" w:color="auto" w:fill="auto"/>
            <w:tcMar>
              <w:top w:w="100" w:type="dxa"/>
              <w:left w:w="100" w:type="dxa"/>
              <w:bottom w:w="100" w:type="dxa"/>
              <w:right w:w="100" w:type="dxa"/>
            </w:tcMar>
          </w:tcPr>
          <w:p w:rsidR="007A0A82" w:rsidRDefault="007A0A82">
            <w:pPr>
              <w:widowControl w:val="0"/>
              <w:pBdr>
                <w:top w:val="nil"/>
                <w:left w:val="nil"/>
                <w:bottom w:val="nil"/>
                <w:right w:val="nil"/>
                <w:between w:val="nil"/>
              </w:pBdr>
              <w:rPr>
                <w:rFonts w:ascii="Trebuchet MS" w:eastAsia="Trebuchet MS" w:hAnsi="Trebuchet MS" w:cs="Trebuchet MS"/>
                <w:u w:val="single"/>
              </w:rPr>
            </w:pPr>
          </w:p>
        </w:tc>
      </w:tr>
      <w:tr w:rsidR="007A0A82">
        <w:trPr>
          <w:trHeight w:val="1120"/>
        </w:trPr>
        <w:tc>
          <w:tcPr>
            <w:tcW w:w="600" w:type="dxa"/>
            <w:shd w:val="clear" w:color="auto" w:fill="auto"/>
            <w:tcMar>
              <w:top w:w="100" w:type="dxa"/>
              <w:left w:w="100" w:type="dxa"/>
              <w:bottom w:w="100" w:type="dxa"/>
              <w:right w:w="100" w:type="dxa"/>
            </w:tcMar>
          </w:tcPr>
          <w:p w:rsidR="007A0A82" w:rsidRDefault="007E1634">
            <w:pPr>
              <w:widowControl w:val="0"/>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3</w:t>
            </w:r>
          </w:p>
        </w:tc>
        <w:tc>
          <w:tcPr>
            <w:tcW w:w="9615" w:type="dxa"/>
            <w:shd w:val="clear" w:color="auto" w:fill="auto"/>
            <w:tcMar>
              <w:top w:w="100" w:type="dxa"/>
              <w:left w:w="100" w:type="dxa"/>
              <w:bottom w:w="100" w:type="dxa"/>
              <w:right w:w="100" w:type="dxa"/>
            </w:tcMar>
          </w:tcPr>
          <w:p w:rsidR="007A0A82" w:rsidRDefault="007A0A82">
            <w:pPr>
              <w:widowControl w:val="0"/>
              <w:pBdr>
                <w:top w:val="nil"/>
                <w:left w:val="nil"/>
                <w:bottom w:val="nil"/>
                <w:right w:val="nil"/>
                <w:between w:val="nil"/>
              </w:pBdr>
              <w:rPr>
                <w:rFonts w:ascii="Trebuchet MS" w:eastAsia="Trebuchet MS" w:hAnsi="Trebuchet MS" w:cs="Trebuchet MS"/>
                <w:u w:val="single"/>
              </w:rPr>
            </w:pPr>
          </w:p>
        </w:tc>
      </w:tr>
    </w:tbl>
    <w:p w:rsidR="007A0A82" w:rsidRDefault="007A0A82">
      <w:pPr>
        <w:spacing w:after="120"/>
        <w:rPr>
          <w:rFonts w:ascii="Trebuchet MS" w:eastAsia="Trebuchet MS" w:hAnsi="Trebuchet MS" w:cs="Trebuchet MS"/>
        </w:rPr>
      </w:pPr>
    </w:p>
    <w:p w:rsidR="007A0A82" w:rsidRDefault="007E1634">
      <w:pPr>
        <w:rPr>
          <w:rFonts w:ascii="Trebuchet MS" w:eastAsia="Trebuchet MS" w:hAnsi="Trebuchet MS" w:cs="Trebuchet MS"/>
        </w:rPr>
      </w:pPr>
      <w:r>
        <w:rPr>
          <w:rFonts w:ascii="Trebuchet MS" w:eastAsia="Trebuchet MS" w:hAnsi="Trebuchet MS" w:cs="Trebuchet MS"/>
          <w:b/>
        </w:rPr>
        <w:t>II. Circle the correct answer in reference to the displayed CAS sample documen</w:t>
      </w:r>
      <w:r>
        <w:rPr>
          <w:rFonts w:ascii="Trebuchet MS" w:eastAsia="Trebuchet MS" w:hAnsi="Trebuchet MS" w:cs="Trebuchet MS"/>
        </w:rPr>
        <w:t>t</w:t>
      </w:r>
    </w:p>
    <w:p w:rsidR="007A0A82" w:rsidRDefault="007A0A82">
      <w:pPr>
        <w:rPr>
          <w:rFonts w:ascii="Trebuchet MS" w:eastAsia="Trebuchet MS" w:hAnsi="Trebuchet MS" w:cs="Trebuchet MS"/>
          <w:u w:val="single"/>
        </w:rPr>
      </w:pPr>
    </w:p>
    <w:p w:rsidR="007A0A82" w:rsidRDefault="007E1634">
      <w:pPr>
        <w:rPr>
          <w:rFonts w:ascii="Trebuchet MS" w:eastAsia="Trebuchet MS" w:hAnsi="Trebuchet MS" w:cs="Trebuchet MS"/>
        </w:rPr>
      </w:pPr>
      <w:r>
        <w:rPr>
          <w:rFonts w:ascii="Trebuchet MS" w:eastAsia="Trebuchet MS" w:hAnsi="Trebuchet MS" w:cs="Trebuchet MS"/>
        </w:rPr>
        <w:t>Which of the following feature(s)/element(s) is considered the actual standard?</w:t>
      </w:r>
    </w:p>
    <w:p w:rsidR="007A0A82" w:rsidRDefault="007A0A82">
      <w:pPr>
        <w:rPr>
          <w:rFonts w:ascii="Trebuchet MS" w:eastAsia="Trebuchet MS" w:hAnsi="Trebuchet MS" w:cs="Trebuchet MS"/>
        </w:rPr>
      </w:pPr>
    </w:p>
    <w:p w:rsidR="007A0A82" w:rsidRDefault="007E1634">
      <w:pPr>
        <w:widowControl w:val="0"/>
        <w:numPr>
          <w:ilvl w:val="1"/>
          <w:numId w:val="1"/>
        </w:numPr>
        <w:contextualSpacing/>
        <w:rPr>
          <w:rFonts w:ascii="Trebuchet MS" w:eastAsia="Trebuchet MS" w:hAnsi="Trebuchet MS" w:cs="Trebuchet MS"/>
        </w:rPr>
      </w:pPr>
      <w:r>
        <w:rPr>
          <w:rFonts w:ascii="Trebuchet MS" w:eastAsia="Trebuchet MS" w:hAnsi="Trebuchet MS" w:cs="Trebuchet MS"/>
        </w:rPr>
        <w:t>Prepared Graduate Statement</w:t>
      </w:r>
    </w:p>
    <w:p w:rsidR="007A0A82" w:rsidRDefault="007E1634">
      <w:pPr>
        <w:widowControl w:val="0"/>
        <w:numPr>
          <w:ilvl w:val="1"/>
          <w:numId w:val="1"/>
        </w:numPr>
        <w:contextualSpacing/>
        <w:rPr>
          <w:rFonts w:ascii="Trebuchet MS" w:eastAsia="Trebuchet MS" w:hAnsi="Trebuchet MS" w:cs="Trebuchet MS"/>
        </w:rPr>
      </w:pPr>
      <w:r>
        <w:rPr>
          <w:rFonts w:ascii="Trebuchet MS" w:eastAsia="Trebuchet MS" w:hAnsi="Trebuchet MS" w:cs="Trebuchet MS"/>
        </w:rPr>
        <w:t>Grade Level Expectation</w:t>
      </w:r>
    </w:p>
    <w:p w:rsidR="007A0A82" w:rsidRDefault="007E1634">
      <w:pPr>
        <w:widowControl w:val="0"/>
        <w:numPr>
          <w:ilvl w:val="1"/>
          <w:numId w:val="1"/>
        </w:numPr>
        <w:contextualSpacing/>
        <w:rPr>
          <w:rFonts w:ascii="Trebuchet MS" w:eastAsia="Trebuchet MS" w:hAnsi="Trebuchet MS" w:cs="Trebuchet MS"/>
        </w:rPr>
      </w:pPr>
      <w:r>
        <w:rPr>
          <w:rFonts w:ascii="Trebuchet MS" w:eastAsia="Trebuchet MS" w:hAnsi="Trebuchet MS" w:cs="Trebuchet MS"/>
        </w:rPr>
        <w:t>Evidence Outcomes</w:t>
      </w:r>
    </w:p>
    <w:p w:rsidR="007A0A82" w:rsidRDefault="007E1634">
      <w:pPr>
        <w:widowControl w:val="0"/>
        <w:numPr>
          <w:ilvl w:val="1"/>
          <w:numId w:val="1"/>
        </w:numPr>
        <w:contextualSpacing/>
        <w:rPr>
          <w:rFonts w:ascii="Trebuchet MS" w:eastAsia="Trebuchet MS" w:hAnsi="Trebuchet MS" w:cs="Trebuchet MS"/>
        </w:rPr>
      </w:pPr>
      <w:r>
        <w:rPr>
          <w:rFonts w:ascii="Trebuchet MS" w:eastAsia="Trebuchet MS" w:hAnsi="Trebuchet MS" w:cs="Trebuchet MS"/>
        </w:rPr>
        <w:t>Academic Context and Connections</w:t>
      </w:r>
    </w:p>
    <w:p w:rsidR="007A0A82" w:rsidRDefault="007E1634">
      <w:pPr>
        <w:widowControl w:val="0"/>
        <w:numPr>
          <w:ilvl w:val="1"/>
          <w:numId w:val="1"/>
        </w:numPr>
        <w:contextualSpacing/>
        <w:rPr>
          <w:rFonts w:ascii="Trebuchet MS" w:eastAsia="Trebuchet MS" w:hAnsi="Trebuchet MS" w:cs="Trebuchet MS"/>
        </w:rPr>
      </w:pPr>
      <w:r>
        <w:rPr>
          <w:rFonts w:ascii="Trebuchet MS" w:eastAsia="Trebuchet MS" w:hAnsi="Trebuchet MS" w:cs="Trebuchet MS"/>
        </w:rPr>
        <w:t>A, B, and C</w:t>
      </w:r>
    </w:p>
    <w:p w:rsidR="007A0A82" w:rsidRDefault="007E1634">
      <w:pPr>
        <w:widowControl w:val="0"/>
        <w:numPr>
          <w:ilvl w:val="1"/>
          <w:numId w:val="1"/>
        </w:numPr>
        <w:contextualSpacing/>
        <w:rPr>
          <w:rFonts w:ascii="Trebuchet MS" w:eastAsia="Trebuchet MS" w:hAnsi="Trebuchet MS" w:cs="Trebuchet MS"/>
        </w:rPr>
      </w:pPr>
      <w:r>
        <w:rPr>
          <w:rFonts w:ascii="Trebuchet MS" w:eastAsia="Trebuchet MS" w:hAnsi="Trebuchet MS" w:cs="Trebuchet MS"/>
        </w:rPr>
        <w:t>All of the above</w:t>
      </w:r>
    </w:p>
    <w:p w:rsidR="007A0A82" w:rsidRDefault="007E1634">
      <w:pPr>
        <w:rPr>
          <w:rFonts w:ascii="Trebuchet MS" w:eastAsia="Trebuchet MS" w:hAnsi="Trebuchet MS" w:cs="Trebuchet MS"/>
        </w:rPr>
      </w:pPr>
      <w:r>
        <w:rPr>
          <w:rFonts w:ascii="Trebuchet MS" w:eastAsia="Trebuchet MS" w:hAnsi="Trebuchet MS" w:cs="Trebuchet MS"/>
          <w:u w:val="single"/>
        </w:rPr>
        <w:t xml:space="preserve">  </w:t>
      </w:r>
    </w:p>
    <w:p w:rsidR="007A0A82" w:rsidRDefault="007E1634">
      <w:pPr>
        <w:rPr>
          <w:rFonts w:ascii="Trebuchet MS" w:eastAsia="Trebuchet MS" w:hAnsi="Trebuchet MS" w:cs="Trebuchet MS"/>
          <w:b/>
        </w:rPr>
      </w:pPr>
      <w:r>
        <w:rPr>
          <w:rFonts w:ascii="Trebuchet MS" w:eastAsia="Trebuchet MS" w:hAnsi="Trebuchet MS" w:cs="Trebuchet MS"/>
          <w:b/>
        </w:rPr>
        <w:t>III. Common Revisions Applicable to Al</w:t>
      </w:r>
      <w:r>
        <w:rPr>
          <w:rFonts w:ascii="Trebuchet MS" w:eastAsia="Trebuchet MS" w:hAnsi="Trebuchet MS" w:cs="Trebuchet MS"/>
          <w:b/>
        </w:rPr>
        <w:t>l Content Area Standards:</w:t>
      </w:r>
    </w:p>
    <w:p w:rsidR="007A0A82" w:rsidRDefault="007A0A82">
      <w:pPr>
        <w:rPr>
          <w:rFonts w:ascii="Trebuchet MS" w:eastAsia="Trebuchet MS" w:hAnsi="Trebuchet MS" w:cs="Trebuchet MS"/>
          <w:i/>
        </w:rPr>
      </w:pPr>
    </w:p>
    <w:p w:rsidR="007A0A82" w:rsidRDefault="007E1634">
      <w:pPr>
        <w:numPr>
          <w:ilvl w:val="0"/>
          <w:numId w:val="4"/>
        </w:numPr>
        <w:pBdr>
          <w:top w:val="nil"/>
          <w:left w:val="nil"/>
          <w:bottom w:val="nil"/>
          <w:right w:val="nil"/>
          <w:between w:val="nil"/>
        </w:pBdr>
        <w:spacing w:line="360" w:lineRule="auto"/>
        <w:contextualSpacing/>
        <w:rPr>
          <w:rFonts w:ascii="Trebuchet MS" w:eastAsia="Trebuchet MS" w:hAnsi="Trebuchet MS" w:cs="Trebuchet MS"/>
        </w:rPr>
      </w:pPr>
      <w:r>
        <w:rPr>
          <w:rFonts w:ascii="Trebuchet MS" w:eastAsia="Trebuchet MS" w:hAnsi="Trebuchet MS" w:cs="Trebuchet MS"/>
        </w:rPr>
        <w:t>__________________________________________________________________________</w:t>
      </w:r>
    </w:p>
    <w:p w:rsidR="007A0A82" w:rsidRDefault="007E1634">
      <w:pPr>
        <w:numPr>
          <w:ilvl w:val="0"/>
          <w:numId w:val="4"/>
        </w:numPr>
        <w:pBdr>
          <w:top w:val="nil"/>
          <w:left w:val="nil"/>
          <w:bottom w:val="nil"/>
          <w:right w:val="nil"/>
          <w:between w:val="nil"/>
        </w:pBdr>
        <w:spacing w:line="360" w:lineRule="auto"/>
        <w:contextualSpacing/>
        <w:rPr>
          <w:rFonts w:ascii="Trebuchet MS" w:eastAsia="Trebuchet MS" w:hAnsi="Trebuchet MS" w:cs="Trebuchet MS"/>
        </w:rPr>
      </w:pPr>
      <w:r>
        <w:rPr>
          <w:rFonts w:ascii="Trebuchet MS" w:eastAsia="Trebuchet MS" w:hAnsi="Trebuchet MS" w:cs="Trebuchet MS"/>
        </w:rPr>
        <w:t>__________________________________________________________________________</w:t>
      </w:r>
    </w:p>
    <w:p w:rsidR="007A0A82" w:rsidRDefault="007E1634">
      <w:pPr>
        <w:numPr>
          <w:ilvl w:val="0"/>
          <w:numId w:val="4"/>
        </w:numPr>
        <w:pBdr>
          <w:top w:val="nil"/>
          <w:left w:val="nil"/>
          <w:bottom w:val="nil"/>
          <w:right w:val="nil"/>
          <w:between w:val="nil"/>
        </w:pBdr>
        <w:spacing w:line="360" w:lineRule="auto"/>
        <w:contextualSpacing/>
        <w:rPr>
          <w:rFonts w:ascii="Trebuchet MS" w:eastAsia="Trebuchet MS" w:hAnsi="Trebuchet MS" w:cs="Trebuchet MS"/>
        </w:rPr>
      </w:pPr>
      <w:r>
        <w:rPr>
          <w:rFonts w:ascii="Trebuchet MS" w:eastAsia="Trebuchet MS" w:hAnsi="Trebuchet MS" w:cs="Trebuchet MS"/>
        </w:rPr>
        <w:t>__________________________________________________________________________</w:t>
      </w:r>
    </w:p>
    <w:p w:rsidR="007A0A82" w:rsidRDefault="007A0A82">
      <w:pPr>
        <w:pBdr>
          <w:top w:val="nil"/>
          <w:left w:val="nil"/>
          <w:bottom w:val="nil"/>
          <w:right w:val="nil"/>
          <w:between w:val="nil"/>
        </w:pBdr>
        <w:rPr>
          <w:rFonts w:ascii="Trebuchet MS" w:eastAsia="Trebuchet MS" w:hAnsi="Trebuchet MS" w:cs="Trebuchet MS"/>
        </w:rPr>
      </w:pPr>
    </w:p>
    <w:p w:rsidR="007A0A82" w:rsidRDefault="007E1634">
      <w:pPr>
        <w:pBdr>
          <w:top w:val="nil"/>
          <w:left w:val="nil"/>
          <w:bottom w:val="nil"/>
          <w:right w:val="nil"/>
          <w:between w:val="nil"/>
        </w:pBdr>
        <w:rPr>
          <w:rFonts w:ascii="Trebuchet MS" w:eastAsia="Trebuchet MS" w:hAnsi="Trebuchet MS" w:cs="Trebuchet MS"/>
          <w:b/>
        </w:rPr>
      </w:pPr>
      <w:r>
        <w:rPr>
          <w:rFonts w:ascii="Trebuchet MS" w:eastAsia="Trebuchet MS" w:hAnsi="Trebuchet MS" w:cs="Trebuchet MS"/>
          <w:b/>
        </w:rPr>
        <w:t>IV. Table Group Discussion and Gallery Walk</w:t>
      </w:r>
    </w:p>
    <w:p w:rsidR="007A0A82" w:rsidRDefault="007E1634">
      <w:pPr>
        <w:numPr>
          <w:ilvl w:val="0"/>
          <w:numId w:val="6"/>
        </w:numPr>
        <w:pBdr>
          <w:top w:val="nil"/>
          <w:left w:val="nil"/>
          <w:bottom w:val="nil"/>
          <w:right w:val="nil"/>
          <w:between w:val="nil"/>
        </w:pBdr>
        <w:contextualSpacing/>
        <w:rPr>
          <w:rFonts w:ascii="Trebuchet MS" w:eastAsia="Trebuchet MS" w:hAnsi="Trebuchet MS" w:cs="Trebuchet MS"/>
        </w:rPr>
      </w:pPr>
      <w:r>
        <w:rPr>
          <w:rFonts w:ascii="Trebuchet MS" w:eastAsia="Trebuchet MS" w:hAnsi="Trebuchet MS" w:cs="Trebuchet MS"/>
        </w:rPr>
        <w:t>In your table groups discuss and chart your responses to the following questions:</w:t>
      </w:r>
    </w:p>
    <w:p w:rsidR="007A0A82" w:rsidRDefault="007A0A82">
      <w:pPr>
        <w:pBdr>
          <w:top w:val="nil"/>
          <w:left w:val="nil"/>
          <w:bottom w:val="nil"/>
          <w:right w:val="nil"/>
          <w:between w:val="nil"/>
        </w:pBdr>
        <w:ind w:left="1440"/>
        <w:rPr>
          <w:rFonts w:ascii="Trebuchet MS" w:eastAsia="Trebuchet MS" w:hAnsi="Trebuchet MS" w:cs="Trebuchet MS"/>
        </w:rPr>
      </w:pPr>
    </w:p>
    <w:p w:rsidR="007A0A82" w:rsidRDefault="007E1634">
      <w:pPr>
        <w:numPr>
          <w:ilvl w:val="0"/>
          <w:numId w:val="5"/>
        </w:numPr>
        <w:pBdr>
          <w:top w:val="nil"/>
          <w:left w:val="nil"/>
          <w:bottom w:val="nil"/>
          <w:right w:val="nil"/>
          <w:between w:val="nil"/>
        </w:pBdr>
        <w:contextualSpacing/>
        <w:rPr>
          <w:rFonts w:ascii="Trebuchet MS" w:eastAsia="Trebuchet MS" w:hAnsi="Trebuchet MS" w:cs="Trebuchet MS"/>
        </w:rPr>
      </w:pPr>
      <w:r>
        <w:rPr>
          <w:rFonts w:ascii="Trebuchet MS" w:eastAsia="Trebuchet MS" w:hAnsi="Trebuchet MS" w:cs="Trebuchet MS"/>
        </w:rPr>
        <w:t>What are the explicit connections between the Evidence Outcomes, Grade Level Expectations, and Academic Context and Connections?</w:t>
      </w:r>
    </w:p>
    <w:p w:rsidR="007A0A82" w:rsidRDefault="007A0A82">
      <w:pPr>
        <w:pBdr>
          <w:top w:val="nil"/>
          <w:left w:val="nil"/>
          <w:bottom w:val="nil"/>
          <w:right w:val="nil"/>
          <w:between w:val="nil"/>
        </w:pBdr>
        <w:ind w:left="1440"/>
        <w:rPr>
          <w:rFonts w:ascii="Trebuchet MS" w:eastAsia="Trebuchet MS" w:hAnsi="Trebuchet MS" w:cs="Trebuchet MS"/>
        </w:rPr>
      </w:pPr>
    </w:p>
    <w:p w:rsidR="007A0A82" w:rsidRDefault="007E1634">
      <w:pPr>
        <w:numPr>
          <w:ilvl w:val="0"/>
          <w:numId w:val="5"/>
        </w:numPr>
        <w:pBdr>
          <w:top w:val="nil"/>
          <w:left w:val="nil"/>
          <w:bottom w:val="nil"/>
          <w:right w:val="nil"/>
          <w:between w:val="nil"/>
        </w:pBdr>
        <w:contextualSpacing/>
        <w:rPr>
          <w:rFonts w:ascii="Trebuchet MS" w:eastAsia="Trebuchet MS" w:hAnsi="Trebuchet MS" w:cs="Trebuchet MS"/>
        </w:rPr>
      </w:pPr>
      <w:r>
        <w:rPr>
          <w:rFonts w:ascii="Trebuchet MS" w:eastAsia="Trebuchet MS" w:hAnsi="Trebuchet MS" w:cs="Trebuchet MS"/>
        </w:rPr>
        <w:t>How do the concepts, content, and skills in section of standards page work together to ensure student success in college, a career and life?</w:t>
      </w:r>
    </w:p>
    <w:p w:rsidR="007A0A82" w:rsidRDefault="007A0A82">
      <w:pPr>
        <w:pBdr>
          <w:top w:val="nil"/>
          <w:left w:val="nil"/>
          <w:bottom w:val="nil"/>
          <w:right w:val="nil"/>
          <w:between w:val="nil"/>
        </w:pBdr>
        <w:rPr>
          <w:rFonts w:ascii="Trebuchet MS" w:eastAsia="Trebuchet MS" w:hAnsi="Trebuchet MS" w:cs="Trebuchet MS"/>
          <w:b/>
          <w:u w:val="single"/>
        </w:rPr>
      </w:pPr>
    </w:p>
    <w:p w:rsidR="007A0A82" w:rsidRDefault="007A0A82">
      <w:pPr>
        <w:pBdr>
          <w:top w:val="nil"/>
          <w:left w:val="nil"/>
          <w:bottom w:val="nil"/>
          <w:right w:val="nil"/>
          <w:between w:val="nil"/>
        </w:pBdr>
        <w:rPr>
          <w:rFonts w:ascii="Trebuchet MS" w:eastAsia="Trebuchet MS" w:hAnsi="Trebuchet MS" w:cs="Trebuchet MS"/>
          <w:b/>
          <w:u w:val="single"/>
        </w:rPr>
      </w:pPr>
    </w:p>
    <w:p w:rsidR="007A0A82" w:rsidRDefault="007E1634">
      <w:pPr>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lastRenderedPageBreak/>
        <w:t>Gallery Walk</w:t>
      </w: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A0A82">
        <w:tc>
          <w:tcPr>
            <w:tcW w:w="9360" w:type="dxa"/>
            <w:shd w:val="clear" w:color="auto" w:fill="auto"/>
            <w:tcMar>
              <w:top w:w="100" w:type="dxa"/>
              <w:left w:w="100" w:type="dxa"/>
              <w:bottom w:w="100" w:type="dxa"/>
              <w:right w:w="100" w:type="dxa"/>
            </w:tcMar>
          </w:tcPr>
          <w:p w:rsidR="007A0A82" w:rsidRDefault="007E1634">
            <w:pPr>
              <w:widowControl w:val="0"/>
              <w:numPr>
                <w:ilvl w:val="0"/>
                <w:numId w:val="2"/>
              </w:numPr>
              <w:pBdr>
                <w:top w:val="nil"/>
                <w:left w:val="nil"/>
                <w:bottom w:val="nil"/>
                <w:right w:val="nil"/>
                <w:between w:val="nil"/>
              </w:pBdr>
              <w:contextualSpacing/>
              <w:rPr>
                <w:rFonts w:ascii="Trebuchet MS" w:eastAsia="Trebuchet MS" w:hAnsi="Trebuchet MS" w:cs="Trebuchet MS"/>
              </w:rPr>
            </w:pPr>
            <w:r>
              <w:rPr>
                <w:rFonts w:ascii="Trebuchet MS" w:eastAsia="Trebuchet MS" w:hAnsi="Trebuchet MS" w:cs="Trebuchet MS"/>
              </w:rPr>
              <w:t>What similarities do you see among group responses?</w:t>
            </w: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b/>
              </w:rPr>
            </w:pPr>
          </w:p>
          <w:p w:rsidR="007A0A82" w:rsidRDefault="007A0A82">
            <w:pPr>
              <w:widowControl w:val="0"/>
              <w:pBdr>
                <w:top w:val="nil"/>
                <w:left w:val="nil"/>
                <w:bottom w:val="nil"/>
                <w:right w:val="nil"/>
                <w:between w:val="nil"/>
              </w:pBdr>
              <w:rPr>
                <w:rFonts w:ascii="Trebuchet MS" w:eastAsia="Trebuchet MS" w:hAnsi="Trebuchet MS" w:cs="Trebuchet MS"/>
                <w:b/>
              </w:rPr>
            </w:pPr>
          </w:p>
          <w:p w:rsidR="007A0A82" w:rsidRDefault="007A0A82">
            <w:pPr>
              <w:widowControl w:val="0"/>
              <w:pBdr>
                <w:top w:val="nil"/>
                <w:left w:val="nil"/>
                <w:bottom w:val="nil"/>
                <w:right w:val="nil"/>
                <w:between w:val="nil"/>
              </w:pBdr>
              <w:rPr>
                <w:rFonts w:ascii="Trebuchet MS" w:eastAsia="Trebuchet MS" w:hAnsi="Trebuchet MS" w:cs="Trebuchet MS"/>
                <w:b/>
              </w:rPr>
            </w:pPr>
          </w:p>
          <w:p w:rsidR="007A0A82" w:rsidRDefault="007A0A82">
            <w:pPr>
              <w:widowControl w:val="0"/>
              <w:pBdr>
                <w:top w:val="nil"/>
                <w:left w:val="nil"/>
                <w:bottom w:val="nil"/>
                <w:right w:val="nil"/>
                <w:between w:val="nil"/>
              </w:pBdr>
              <w:rPr>
                <w:rFonts w:ascii="Trebuchet MS" w:eastAsia="Trebuchet MS" w:hAnsi="Trebuchet MS" w:cs="Trebuchet MS"/>
                <w:b/>
              </w:rPr>
            </w:pPr>
          </w:p>
          <w:p w:rsidR="007A0A82" w:rsidRDefault="007A0A82">
            <w:pPr>
              <w:widowControl w:val="0"/>
              <w:pBdr>
                <w:top w:val="nil"/>
                <w:left w:val="nil"/>
                <w:bottom w:val="nil"/>
                <w:right w:val="nil"/>
                <w:between w:val="nil"/>
              </w:pBdr>
              <w:rPr>
                <w:rFonts w:ascii="Trebuchet MS" w:eastAsia="Trebuchet MS" w:hAnsi="Trebuchet MS" w:cs="Trebuchet MS"/>
                <w:b/>
              </w:rPr>
            </w:pPr>
          </w:p>
          <w:p w:rsidR="007A0A82" w:rsidRDefault="007A0A82">
            <w:pPr>
              <w:widowControl w:val="0"/>
              <w:pBdr>
                <w:top w:val="nil"/>
                <w:left w:val="nil"/>
                <w:bottom w:val="nil"/>
                <w:right w:val="nil"/>
                <w:between w:val="nil"/>
              </w:pBdr>
              <w:rPr>
                <w:rFonts w:ascii="Trebuchet MS" w:eastAsia="Trebuchet MS" w:hAnsi="Trebuchet MS" w:cs="Trebuchet MS"/>
                <w:b/>
              </w:rPr>
            </w:pPr>
          </w:p>
          <w:p w:rsidR="007A0A82" w:rsidRDefault="007A0A82">
            <w:pPr>
              <w:widowControl w:val="0"/>
              <w:pBdr>
                <w:top w:val="nil"/>
                <w:left w:val="nil"/>
                <w:bottom w:val="nil"/>
                <w:right w:val="nil"/>
                <w:between w:val="nil"/>
              </w:pBdr>
              <w:rPr>
                <w:rFonts w:ascii="Trebuchet MS" w:eastAsia="Trebuchet MS" w:hAnsi="Trebuchet MS" w:cs="Trebuchet MS"/>
                <w:b/>
              </w:rPr>
            </w:pPr>
          </w:p>
          <w:p w:rsidR="007A0A82" w:rsidRDefault="007A0A82">
            <w:pPr>
              <w:widowControl w:val="0"/>
              <w:pBdr>
                <w:top w:val="nil"/>
                <w:left w:val="nil"/>
                <w:bottom w:val="nil"/>
                <w:right w:val="nil"/>
                <w:between w:val="nil"/>
              </w:pBdr>
              <w:rPr>
                <w:rFonts w:ascii="Trebuchet MS" w:eastAsia="Trebuchet MS" w:hAnsi="Trebuchet MS" w:cs="Trebuchet MS"/>
                <w:b/>
              </w:rPr>
            </w:pPr>
          </w:p>
          <w:p w:rsidR="007A0A82" w:rsidRDefault="007A0A82">
            <w:pPr>
              <w:widowControl w:val="0"/>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b/>
              </w:rPr>
            </w:pPr>
          </w:p>
          <w:p w:rsidR="007A0A82" w:rsidRDefault="007A0A82">
            <w:pPr>
              <w:widowControl w:val="0"/>
              <w:pBdr>
                <w:top w:val="nil"/>
                <w:left w:val="nil"/>
                <w:bottom w:val="nil"/>
                <w:right w:val="nil"/>
                <w:between w:val="nil"/>
              </w:pBdr>
              <w:rPr>
                <w:rFonts w:ascii="Trebuchet MS" w:eastAsia="Trebuchet MS" w:hAnsi="Trebuchet MS" w:cs="Trebuchet MS"/>
                <w:b/>
              </w:rPr>
            </w:pPr>
          </w:p>
        </w:tc>
      </w:tr>
    </w:tbl>
    <w:p w:rsidR="007A0A82" w:rsidRDefault="007A0A82">
      <w:pPr>
        <w:rPr>
          <w:rFonts w:ascii="Trebuchet MS" w:eastAsia="Trebuchet MS" w:hAnsi="Trebuchet MS" w:cs="Trebuchet MS"/>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A0A82">
        <w:tc>
          <w:tcPr>
            <w:tcW w:w="9360" w:type="dxa"/>
            <w:shd w:val="clear" w:color="auto" w:fill="auto"/>
            <w:tcMar>
              <w:top w:w="100" w:type="dxa"/>
              <w:left w:w="100" w:type="dxa"/>
              <w:bottom w:w="100" w:type="dxa"/>
              <w:right w:w="100" w:type="dxa"/>
            </w:tcMar>
          </w:tcPr>
          <w:p w:rsidR="007A0A82" w:rsidRDefault="007E1634">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noProof/>
              </w:rPr>
              <w:drawing>
                <wp:inline distT="19050" distB="19050" distL="19050" distR="19050">
                  <wp:extent cx="457200" cy="4905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57200" cy="490538"/>
                          </a:xfrm>
                          <a:prstGeom prst="rect">
                            <a:avLst/>
                          </a:prstGeom>
                          <a:ln/>
                        </pic:spPr>
                      </pic:pic>
                    </a:graphicData>
                  </a:graphic>
                </wp:inline>
              </w:drawing>
            </w:r>
            <w:r>
              <w:rPr>
                <w:rFonts w:ascii="Trebuchet MS" w:eastAsia="Trebuchet MS" w:hAnsi="Trebuchet MS" w:cs="Trebuchet MS"/>
              </w:rPr>
              <w:t xml:space="preserve"> B. Which responses provoke further question/discussion?  </w:t>
            </w:r>
          </w:p>
          <w:p w:rsidR="007A0A82" w:rsidRDefault="007A0A82">
            <w:pPr>
              <w:widowControl w:val="0"/>
              <w:rPr>
                <w:rFonts w:ascii="Trebuchet MS" w:eastAsia="Trebuchet MS" w:hAnsi="Trebuchet MS" w:cs="Trebuchet MS"/>
              </w:rPr>
            </w:pPr>
          </w:p>
          <w:p w:rsidR="007A0A82" w:rsidRDefault="007A0A82">
            <w:pPr>
              <w:widowControl w:val="0"/>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p w:rsidR="007A0A82" w:rsidRDefault="007A0A82">
            <w:pPr>
              <w:widowControl w:val="0"/>
              <w:pBdr>
                <w:top w:val="nil"/>
                <w:left w:val="nil"/>
                <w:bottom w:val="nil"/>
                <w:right w:val="nil"/>
                <w:between w:val="nil"/>
              </w:pBdr>
              <w:rPr>
                <w:rFonts w:ascii="Trebuchet MS" w:eastAsia="Trebuchet MS" w:hAnsi="Trebuchet MS" w:cs="Trebuchet MS"/>
              </w:rPr>
            </w:pPr>
          </w:p>
        </w:tc>
      </w:tr>
    </w:tbl>
    <w:p w:rsidR="007A0A82" w:rsidRDefault="007A0A82">
      <w:pPr>
        <w:rPr>
          <w:rFonts w:ascii="Trebuchet MS" w:eastAsia="Trebuchet MS" w:hAnsi="Trebuchet MS" w:cs="Trebuchet MS"/>
          <w:sz w:val="24"/>
          <w:szCs w:val="24"/>
        </w:rPr>
      </w:pPr>
      <w:bookmarkStart w:id="0" w:name="_hmyumjcmcnjy" w:colFirst="0" w:colLast="0"/>
      <w:bookmarkEnd w:id="0"/>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A0A82">
        <w:tc>
          <w:tcPr>
            <w:tcW w:w="9360" w:type="dxa"/>
            <w:shd w:val="clear" w:color="auto" w:fill="auto"/>
            <w:tcMar>
              <w:top w:w="100" w:type="dxa"/>
              <w:left w:w="100" w:type="dxa"/>
              <w:bottom w:w="100" w:type="dxa"/>
              <w:right w:w="100" w:type="dxa"/>
            </w:tcMar>
          </w:tcPr>
          <w:p w:rsidR="007A0A82" w:rsidRDefault="007E1634">
            <w:pPr>
              <w:widowControl w:val="0"/>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 xml:space="preserve">  C. Which responses created an Aha moment?</w:t>
            </w:r>
            <w:r>
              <w:rPr>
                <w:noProof/>
              </w:rPr>
              <w:drawing>
                <wp:anchor distT="19050" distB="19050" distL="19050" distR="19050" simplePos="0" relativeHeight="251658240" behindDoc="0" locked="0" layoutInCell="1" hidden="0" allowOverlap="1">
                  <wp:simplePos x="0" y="0"/>
                  <wp:positionH relativeFrom="margin">
                    <wp:posOffset>66675</wp:posOffset>
                  </wp:positionH>
                  <wp:positionV relativeFrom="paragraph">
                    <wp:posOffset>19050</wp:posOffset>
                  </wp:positionV>
                  <wp:extent cx="547688" cy="518862"/>
                  <wp:effectExtent l="0" t="0" r="0" b="0"/>
                  <wp:wrapSquare wrapText="bothSides" distT="19050" distB="19050" distL="19050" distR="1905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47688" cy="518862"/>
                          </a:xfrm>
                          <a:prstGeom prst="rect">
                            <a:avLst/>
                          </a:prstGeom>
                          <a:ln/>
                        </pic:spPr>
                      </pic:pic>
                    </a:graphicData>
                  </a:graphic>
                </wp:anchor>
              </w:drawing>
            </w: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tc>
      </w:tr>
    </w:tbl>
    <w:p w:rsidR="007E1634" w:rsidRDefault="007E1634">
      <w:pPr>
        <w:rPr>
          <w:rFonts w:ascii="Trebuchet MS" w:eastAsia="Trebuchet MS" w:hAnsi="Trebuchet MS" w:cs="Trebuchet MS"/>
          <w:sz w:val="24"/>
          <w:szCs w:val="24"/>
          <w:u w:val="single"/>
        </w:rPr>
      </w:pPr>
      <w:bookmarkStart w:id="1" w:name="_bamoe2o094qf" w:colFirst="0" w:colLast="0"/>
      <w:bookmarkEnd w:id="1"/>
    </w:p>
    <w:p w:rsidR="007E1634" w:rsidRDefault="007E1634">
      <w:pPr>
        <w:rPr>
          <w:rFonts w:ascii="Trebuchet MS" w:eastAsia="Trebuchet MS" w:hAnsi="Trebuchet MS" w:cs="Trebuchet MS"/>
          <w:u w:val="single"/>
        </w:rPr>
      </w:pPr>
    </w:p>
    <w:p w:rsidR="007A0A82" w:rsidRPr="007E1634" w:rsidRDefault="007E1634">
      <w:pPr>
        <w:rPr>
          <w:rFonts w:ascii="Trebuchet MS" w:eastAsia="Trebuchet MS" w:hAnsi="Trebuchet MS" w:cs="Trebuchet MS"/>
        </w:rPr>
      </w:pPr>
      <w:bookmarkStart w:id="2" w:name="_GoBack"/>
      <w:bookmarkEnd w:id="2"/>
      <w:r w:rsidRPr="007E1634">
        <w:rPr>
          <w:rFonts w:ascii="Trebuchet MS" w:eastAsia="Trebuchet MS" w:hAnsi="Trebuchet MS" w:cs="Trebuchet MS"/>
          <w:u w:val="single"/>
        </w:rPr>
        <w:lastRenderedPageBreak/>
        <w:t>V. Synthesis</w:t>
      </w:r>
    </w:p>
    <w:p w:rsidR="007A0A82" w:rsidRPr="007E1634" w:rsidRDefault="007E1634">
      <w:pPr>
        <w:widowControl w:val="0"/>
        <w:rPr>
          <w:rFonts w:ascii="Trebuchet MS" w:eastAsia="Trebuchet MS" w:hAnsi="Trebuchet MS" w:cs="Trebuchet MS"/>
        </w:rPr>
      </w:pPr>
      <w:r w:rsidRPr="007E1634">
        <w:rPr>
          <w:rFonts w:ascii="Trebuchet MS" w:eastAsia="Trebuchet MS" w:hAnsi="Trebuchet MS" w:cs="Trebuchet MS"/>
        </w:rPr>
        <w:t>How do you envision using the entire standards page within your curricular planning?</w:t>
      </w:r>
    </w:p>
    <w:p w:rsidR="007A0A82" w:rsidRPr="007E1634" w:rsidRDefault="007E1634">
      <w:pPr>
        <w:widowControl w:val="0"/>
        <w:rPr>
          <w:rFonts w:ascii="Trebuchet MS" w:eastAsia="Trebuchet MS" w:hAnsi="Trebuchet MS" w:cs="Trebuchet MS"/>
        </w:rPr>
      </w:pPr>
      <w:r w:rsidRPr="007E1634">
        <w:rPr>
          <w:rFonts w:ascii="Trebuchet MS" w:eastAsia="Trebuchet MS" w:hAnsi="Trebuchet MS" w:cs="Trebuchet M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7E1634">
        <w:rPr>
          <w:rFonts w:ascii="Trebuchet MS" w:eastAsia="Trebuchet MS" w:hAnsi="Trebuchet MS" w:cs="Trebuchet M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7E1634">
        <w:rPr>
          <w:rFonts w:ascii="Trebuchet MS" w:eastAsia="Trebuchet MS" w:hAnsi="Trebuchet MS" w:cs="Trebuchet MS"/>
        </w:rPr>
        <w:t>________________________________________________________________________________</w:t>
      </w:r>
    </w:p>
    <w:p w:rsidR="007A0A82" w:rsidRPr="007E1634" w:rsidRDefault="007A0A82">
      <w:pPr>
        <w:widowControl w:val="0"/>
        <w:rPr>
          <w:rFonts w:ascii="Trebuchet MS" w:eastAsia="Trebuchet MS" w:hAnsi="Trebuchet MS" w:cs="Trebuchet MS"/>
        </w:rPr>
      </w:pPr>
    </w:p>
    <w:p w:rsidR="007A0A82" w:rsidRPr="007E1634" w:rsidRDefault="007E1634">
      <w:pPr>
        <w:widowControl w:val="0"/>
        <w:rPr>
          <w:rFonts w:ascii="Trebuchet MS" w:eastAsia="Trebuchet MS" w:hAnsi="Trebuchet MS" w:cs="Trebuchet MS"/>
          <w:u w:val="single"/>
        </w:rPr>
      </w:pPr>
      <w:r w:rsidRPr="007E1634">
        <w:rPr>
          <w:rFonts w:ascii="Trebuchet MS" w:eastAsia="Trebuchet MS" w:hAnsi="Trebuchet MS" w:cs="Trebuchet MS"/>
          <w:u w:val="single"/>
        </w:rPr>
        <w:t xml:space="preserve">VI. Reflection </w:t>
      </w:r>
    </w:p>
    <w:p w:rsidR="007A0A82" w:rsidRPr="007E1634" w:rsidRDefault="007E1634">
      <w:pPr>
        <w:widowControl w:val="0"/>
        <w:spacing w:before="200"/>
        <w:rPr>
          <w:rFonts w:ascii="Trebuchet MS" w:eastAsia="Trebuchet MS" w:hAnsi="Trebuchet MS" w:cs="Trebuchet MS"/>
          <w:highlight w:val="white"/>
        </w:rPr>
      </w:pPr>
      <w:proofErr w:type="gramStart"/>
      <w:r w:rsidRPr="007E1634">
        <w:rPr>
          <w:rFonts w:ascii="Trebuchet MS" w:eastAsia="Trebuchet MS" w:hAnsi="Trebuchet MS" w:cs="Trebuchet MS"/>
          <w:highlight w:val="white"/>
        </w:rPr>
        <w:t>Now that you have completed the first 6 modules . . .</w:t>
      </w:r>
      <w:proofErr w:type="gramEnd"/>
    </w:p>
    <w:p w:rsidR="007A0A82" w:rsidRPr="007E1634" w:rsidRDefault="007E1634">
      <w:pPr>
        <w:widowControl w:val="0"/>
        <w:numPr>
          <w:ilvl w:val="0"/>
          <w:numId w:val="7"/>
        </w:numPr>
        <w:spacing w:before="200"/>
        <w:contextualSpacing/>
        <w:rPr>
          <w:color w:val="000000"/>
          <w:highlight w:val="white"/>
        </w:rPr>
      </w:pPr>
      <w:r w:rsidRPr="007E1634">
        <w:rPr>
          <w:rFonts w:ascii="Trebuchet MS" w:eastAsia="Trebuchet MS" w:hAnsi="Trebuchet MS" w:cs="Trebuchet MS"/>
          <w:highlight w:val="white"/>
        </w:rPr>
        <w:t>What is one learning you will take</w:t>
      </w:r>
      <w:r>
        <w:rPr>
          <w:rFonts w:ascii="Trebuchet MS" w:eastAsia="Trebuchet MS" w:hAnsi="Trebuchet MS" w:cs="Trebuchet MS"/>
          <w:highlight w:val="white"/>
        </w:rPr>
        <w:t xml:space="preserve"> </w:t>
      </w:r>
      <w:r w:rsidRPr="007E1634">
        <w:rPr>
          <w:rFonts w:ascii="Trebuchet MS" w:eastAsia="Trebuchet MS" w:hAnsi="Trebuchet MS" w:cs="Trebuchet MS"/>
          <w:highlight w:val="white"/>
        </w:rPr>
        <w:t xml:space="preserve">away? </w:t>
      </w:r>
    </w:p>
    <w:p w:rsidR="007A0A82" w:rsidRPr="007E1634" w:rsidRDefault="007E1634">
      <w:pPr>
        <w:widowControl w:val="0"/>
        <w:numPr>
          <w:ilvl w:val="0"/>
          <w:numId w:val="7"/>
        </w:numPr>
        <w:spacing w:before="200"/>
        <w:contextualSpacing/>
        <w:rPr>
          <w:color w:val="000000"/>
          <w:highlight w:val="white"/>
        </w:rPr>
      </w:pPr>
      <w:r w:rsidRPr="007E1634">
        <w:rPr>
          <w:rFonts w:ascii="Trebuchet MS" w:eastAsia="Trebuchet MS" w:hAnsi="Trebuchet MS" w:cs="Trebuchet MS"/>
          <w:highlight w:val="white"/>
        </w:rPr>
        <w:t>What is one question you still have regarding standards?</w:t>
      </w:r>
    </w:p>
    <w:p w:rsidR="007A0A82" w:rsidRPr="007E1634" w:rsidRDefault="007E1634">
      <w:pPr>
        <w:widowControl w:val="0"/>
        <w:numPr>
          <w:ilvl w:val="0"/>
          <w:numId w:val="7"/>
        </w:numPr>
        <w:spacing w:before="200"/>
        <w:contextualSpacing/>
        <w:rPr>
          <w:color w:val="000000"/>
          <w:highlight w:val="white"/>
        </w:rPr>
      </w:pPr>
      <w:r w:rsidRPr="007E1634">
        <w:rPr>
          <w:rFonts w:ascii="Trebuchet MS" w:eastAsia="Trebuchet MS" w:hAnsi="Trebuchet MS" w:cs="Trebuchet MS"/>
          <w:highlight w:val="white"/>
        </w:rPr>
        <w:t>What d</w:t>
      </w:r>
      <w:r w:rsidRPr="007E1634">
        <w:rPr>
          <w:rFonts w:ascii="Trebuchet MS" w:eastAsia="Trebuchet MS" w:hAnsi="Trebuchet MS" w:cs="Trebuchet MS"/>
          <w:highlight w:val="white"/>
        </w:rPr>
        <w:t xml:space="preserve">o you hope will be covered over the next 8 modules? </w:t>
      </w:r>
      <w:r w:rsidRPr="007E1634">
        <w:rPr>
          <w:rFonts w:ascii="Trebuchet MS" w:eastAsia="Trebuchet MS" w:hAnsi="Trebuchet MS" w:cs="Trebuchet MS"/>
          <w:i/>
          <w:highlight w:val="white"/>
        </w:rPr>
        <w:t xml:space="preserve">Your voice matters! To ensure the next round of modules meet the needs of educators, please email all feedback to the standards and instructional support team members here: </w:t>
      </w:r>
      <w:hyperlink r:id="rId8">
        <w:r w:rsidRPr="007E1634">
          <w:rPr>
            <w:rFonts w:ascii="Trebuchet MS" w:eastAsia="Trebuchet MS" w:hAnsi="Trebuchet MS" w:cs="Trebuchet MS"/>
            <w:i/>
            <w:color w:val="1155CC"/>
            <w:highlight w:val="white"/>
            <w:u w:val="single"/>
          </w:rPr>
          <w:t>http://www.cde.state.co.us/standardsandinstruction/contact</w:t>
        </w:r>
      </w:hyperlink>
      <w:r w:rsidRPr="007E1634">
        <w:rPr>
          <w:rFonts w:ascii="Trebuchet MS" w:eastAsia="Trebuchet MS" w:hAnsi="Trebuchet MS" w:cs="Trebuchet MS"/>
          <w:i/>
          <w:highlight w:val="white"/>
        </w:rPr>
        <w:t xml:space="preserve"> </w:t>
      </w:r>
    </w:p>
    <w:p w:rsidR="007A0A82" w:rsidRPr="007E1634" w:rsidRDefault="007A0A82">
      <w:pPr>
        <w:widowControl w:val="0"/>
        <w:rPr>
          <w:rFonts w:ascii="Trebuchet MS" w:eastAsia="Trebuchet MS" w:hAnsi="Trebuchet MS" w:cs="Trebuchet MS"/>
        </w:rPr>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A0A82">
        <w:tc>
          <w:tcPr>
            <w:tcW w:w="9360" w:type="dxa"/>
            <w:shd w:val="clear" w:color="auto" w:fill="auto"/>
            <w:tcMar>
              <w:top w:w="100" w:type="dxa"/>
              <w:left w:w="100" w:type="dxa"/>
              <w:bottom w:w="100" w:type="dxa"/>
              <w:right w:w="100" w:type="dxa"/>
            </w:tcMar>
          </w:tcPr>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p w:rsidR="007A0A82" w:rsidRDefault="007A0A82">
            <w:pPr>
              <w:widowControl w:val="0"/>
              <w:pBdr>
                <w:top w:val="nil"/>
                <w:left w:val="nil"/>
                <w:bottom w:val="nil"/>
                <w:right w:val="nil"/>
                <w:between w:val="nil"/>
              </w:pBdr>
              <w:rPr>
                <w:rFonts w:ascii="Trebuchet MS" w:eastAsia="Trebuchet MS" w:hAnsi="Trebuchet MS" w:cs="Trebuchet MS"/>
                <w:sz w:val="24"/>
                <w:szCs w:val="24"/>
              </w:rPr>
            </w:pPr>
          </w:p>
        </w:tc>
      </w:tr>
    </w:tbl>
    <w:p w:rsidR="007A0A82" w:rsidRDefault="007A0A82">
      <w:pPr>
        <w:widowControl w:val="0"/>
        <w:rPr>
          <w:rFonts w:ascii="Trebuchet MS" w:eastAsia="Trebuchet MS" w:hAnsi="Trebuchet MS" w:cs="Trebuchet MS"/>
          <w:sz w:val="24"/>
          <w:szCs w:val="24"/>
        </w:rPr>
      </w:pPr>
    </w:p>
    <w:sectPr w:rsidR="007A0A8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C57"/>
    <w:multiLevelType w:val="multilevel"/>
    <w:tmpl w:val="34921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9E0565"/>
    <w:multiLevelType w:val="multilevel"/>
    <w:tmpl w:val="C9021014"/>
    <w:lvl w:ilvl="0">
      <w:start w:val="1"/>
      <w:numFmt w:val="decimal"/>
      <w:lvlText w:val="%1."/>
      <w:lvlJc w:val="right"/>
      <w:pPr>
        <w:ind w:left="720" w:hanging="360"/>
      </w:pPr>
      <w:rPr>
        <w:rFonts w:ascii="Arial" w:eastAsia="Arial" w:hAnsi="Arial" w:cs="Arial"/>
        <w:b w:val="0"/>
        <w:i w:val="0"/>
        <w:smallCaps w:val="0"/>
        <w:strike w:val="0"/>
        <w:color w:val="5C6670"/>
        <w:sz w:val="22"/>
        <w:szCs w:val="22"/>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40"/>
        <w:szCs w:val="40"/>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36"/>
        <w:szCs w:val="3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32"/>
        <w:szCs w:val="3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36"/>
        <w:szCs w:val="3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36"/>
        <w:szCs w:val="3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36"/>
        <w:szCs w:val="3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36"/>
        <w:szCs w:val="36"/>
        <w:u w:val="none"/>
        <w:shd w:val="clear" w:color="auto" w:fill="auto"/>
        <w:vertAlign w:val="baseline"/>
      </w:rPr>
    </w:lvl>
  </w:abstractNum>
  <w:abstractNum w:abstractNumId="2">
    <w:nsid w:val="05E854E0"/>
    <w:multiLevelType w:val="multilevel"/>
    <w:tmpl w:val="CFF8E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D3B1873"/>
    <w:multiLevelType w:val="multilevel"/>
    <w:tmpl w:val="2DAA42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D3D688B"/>
    <w:multiLevelType w:val="multilevel"/>
    <w:tmpl w:val="BE7C1EE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22357FA7"/>
    <w:multiLevelType w:val="multilevel"/>
    <w:tmpl w:val="000879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ED1170F"/>
    <w:multiLevelType w:val="multilevel"/>
    <w:tmpl w:val="A69E6A2A"/>
    <w:lvl w:ilvl="0">
      <w:start w:val="1"/>
      <w:numFmt w:val="decimal"/>
      <w:lvlText w:val="%1."/>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Letter"/>
      <w:lvlText w:val="%2."/>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decimal"/>
      <w:lvlText w:val="%4."/>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Letter"/>
      <w:lvlText w:val="%5."/>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lowerRoman"/>
      <w:lvlText w:val="%6."/>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decimal"/>
      <w:lvlText w:val="%7."/>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Letter"/>
      <w:lvlText w:val="%8."/>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lowerRoman"/>
      <w:lvlText w:val="%9."/>
      <w:lvlJc w:val="right"/>
      <w:pPr>
        <w:ind w:left="720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7">
    <w:nsid w:val="4402362A"/>
    <w:multiLevelType w:val="multilevel"/>
    <w:tmpl w:val="CEE25512"/>
    <w:lvl w:ilvl="0">
      <w:start w:val="1"/>
      <w:numFmt w:val="decimal"/>
      <w:lvlText w:val="%1."/>
      <w:lvlJc w:val="right"/>
      <w:pPr>
        <w:ind w:left="189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right"/>
      <w:pPr>
        <w:ind w:left="2610" w:hanging="360"/>
      </w:pPr>
      <w:rPr>
        <w:rFonts w:ascii="Arial" w:eastAsia="Arial" w:hAnsi="Arial" w:cs="Arial"/>
        <w:b w:val="0"/>
        <w:i w:val="0"/>
        <w:smallCaps w:val="0"/>
        <w:strike w:val="0"/>
        <w:color w:val="000000"/>
        <w:sz w:val="40"/>
        <w:szCs w:val="40"/>
        <w:u w:val="none"/>
        <w:shd w:val="clear" w:color="auto" w:fill="auto"/>
        <w:vertAlign w:val="baseline"/>
      </w:rPr>
    </w:lvl>
    <w:lvl w:ilvl="2">
      <w:start w:val="1"/>
      <w:numFmt w:val="lowerRoman"/>
      <w:lvlText w:val="%3."/>
      <w:lvlJc w:val="right"/>
      <w:pPr>
        <w:ind w:left="3330" w:hanging="360"/>
      </w:pPr>
      <w:rPr>
        <w:rFonts w:ascii="Arial" w:eastAsia="Arial" w:hAnsi="Arial" w:cs="Arial"/>
        <w:b w:val="0"/>
        <w:i w:val="0"/>
        <w:smallCaps w:val="0"/>
        <w:strike w:val="0"/>
        <w:color w:val="000000"/>
        <w:sz w:val="36"/>
        <w:szCs w:val="36"/>
        <w:u w:val="none"/>
        <w:shd w:val="clear" w:color="auto" w:fill="auto"/>
        <w:vertAlign w:val="baseline"/>
      </w:rPr>
    </w:lvl>
    <w:lvl w:ilvl="3">
      <w:start w:val="1"/>
      <w:numFmt w:val="decimal"/>
      <w:lvlText w:val="%4."/>
      <w:lvlJc w:val="right"/>
      <w:pPr>
        <w:ind w:left="4050" w:hanging="360"/>
      </w:pPr>
      <w:rPr>
        <w:rFonts w:ascii="Arial" w:eastAsia="Arial" w:hAnsi="Arial" w:cs="Arial"/>
        <w:b w:val="0"/>
        <w:i w:val="0"/>
        <w:smallCaps w:val="0"/>
        <w:strike w:val="0"/>
        <w:color w:val="000000"/>
        <w:sz w:val="32"/>
        <w:szCs w:val="32"/>
        <w:u w:val="none"/>
        <w:shd w:val="clear" w:color="auto" w:fill="auto"/>
        <w:vertAlign w:val="baseline"/>
      </w:rPr>
    </w:lvl>
    <w:lvl w:ilvl="4">
      <w:start w:val="1"/>
      <w:numFmt w:val="lowerLetter"/>
      <w:lvlText w:val="%5."/>
      <w:lvlJc w:val="right"/>
      <w:pPr>
        <w:ind w:left="477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lowerRoman"/>
      <w:lvlText w:val="%6."/>
      <w:lvlJc w:val="right"/>
      <w:pPr>
        <w:ind w:left="5490" w:hanging="360"/>
      </w:pPr>
      <w:rPr>
        <w:rFonts w:ascii="Arial" w:eastAsia="Arial" w:hAnsi="Arial" w:cs="Arial"/>
        <w:b w:val="0"/>
        <w:i w:val="0"/>
        <w:smallCaps w:val="0"/>
        <w:strike w:val="0"/>
        <w:color w:val="000000"/>
        <w:sz w:val="36"/>
        <w:szCs w:val="36"/>
        <w:u w:val="none"/>
        <w:shd w:val="clear" w:color="auto" w:fill="auto"/>
        <w:vertAlign w:val="baseline"/>
      </w:rPr>
    </w:lvl>
    <w:lvl w:ilvl="6">
      <w:start w:val="1"/>
      <w:numFmt w:val="decimal"/>
      <w:lvlText w:val="%7."/>
      <w:lvlJc w:val="right"/>
      <w:pPr>
        <w:ind w:left="6210" w:hanging="360"/>
      </w:pPr>
      <w:rPr>
        <w:rFonts w:ascii="Arial" w:eastAsia="Arial" w:hAnsi="Arial" w:cs="Arial"/>
        <w:b w:val="0"/>
        <w:i w:val="0"/>
        <w:smallCaps w:val="0"/>
        <w:strike w:val="0"/>
        <w:color w:val="000000"/>
        <w:sz w:val="36"/>
        <w:szCs w:val="36"/>
        <w:u w:val="none"/>
        <w:shd w:val="clear" w:color="auto" w:fill="auto"/>
        <w:vertAlign w:val="baseline"/>
      </w:rPr>
    </w:lvl>
    <w:lvl w:ilvl="7">
      <w:start w:val="1"/>
      <w:numFmt w:val="lowerLetter"/>
      <w:lvlText w:val="%8."/>
      <w:lvlJc w:val="right"/>
      <w:pPr>
        <w:ind w:left="6930" w:hanging="360"/>
      </w:pPr>
      <w:rPr>
        <w:rFonts w:ascii="Arial" w:eastAsia="Arial" w:hAnsi="Arial" w:cs="Arial"/>
        <w:b w:val="0"/>
        <w:i w:val="0"/>
        <w:smallCaps w:val="0"/>
        <w:strike w:val="0"/>
        <w:color w:val="000000"/>
        <w:sz w:val="36"/>
        <w:szCs w:val="36"/>
        <w:u w:val="none"/>
        <w:shd w:val="clear" w:color="auto" w:fill="auto"/>
        <w:vertAlign w:val="baseline"/>
      </w:rPr>
    </w:lvl>
    <w:lvl w:ilvl="8">
      <w:start w:val="1"/>
      <w:numFmt w:val="lowerRoman"/>
      <w:lvlText w:val="%9."/>
      <w:lvlJc w:val="right"/>
      <w:pPr>
        <w:ind w:left="7650" w:hanging="360"/>
      </w:pPr>
      <w:rPr>
        <w:rFonts w:ascii="Arial" w:eastAsia="Arial" w:hAnsi="Arial" w:cs="Arial"/>
        <w:b w:val="0"/>
        <w:i w:val="0"/>
        <w:smallCaps w:val="0"/>
        <w:strike w:val="0"/>
        <w:color w:val="000000"/>
        <w:sz w:val="36"/>
        <w:szCs w:val="36"/>
        <w:u w:val="none"/>
        <w:shd w:val="clear" w:color="auto" w:fill="auto"/>
        <w:vertAlign w:val="baseline"/>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A0A82"/>
    <w:rsid w:val="007A0A82"/>
    <w:rsid w:val="007E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E1634"/>
    <w:rPr>
      <w:rFonts w:ascii="Tahoma" w:hAnsi="Tahoma" w:cs="Tahoma"/>
      <w:sz w:val="16"/>
      <w:szCs w:val="16"/>
    </w:rPr>
  </w:style>
  <w:style w:type="character" w:customStyle="1" w:styleId="BalloonTextChar">
    <w:name w:val="Balloon Text Char"/>
    <w:basedOn w:val="DefaultParagraphFont"/>
    <w:link w:val="BalloonText"/>
    <w:uiPriority w:val="99"/>
    <w:semiHidden/>
    <w:rsid w:val="007E16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E1634"/>
    <w:rPr>
      <w:rFonts w:ascii="Tahoma" w:hAnsi="Tahoma" w:cs="Tahoma"/>
      <w:sz w:val="16"/>
      <w:szCs w:val="16"/>
    </w:rPr>
  </w:style>
  <w:style w:type="character" w:customStyle="1" w:styleId="BalloonTextChar">
    <w:name w:val="Balloon Text Char"/>
    <w:basedOn w:val="DefaultParagraphFont"/>
    <w:link w:val="BalloonText"/>
    <w:uiPriority w:val="99"/>
    <w:semiHidden/>
    <w:rsid w:val="007E16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de.state.co.us/standardsandinstruction/contact"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cp:lastPrinted>2018-09-19T15:43:00Z</cp:lastPrinted>
  <dcterms:created xsi:type="dcterms:W3CDTF">2018-09-19T15:55:00Z</dcterms:created>
  <dcterms:modified xsi:type="dcterms:W3CDTF">2018-09-19T15:55:00Z</dcterms:modified>
</cp:coreProperties>
</file>