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 _____________________________                                  Date: 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Standards Implementation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Module #4: The Highlights!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Goals &amp; Objectives: </w:t>
      </w:r>
    </w:p>
    <w:p w:rsidR="00000000" w:rsidDel="00000000" w:rsidP="00000000" w:rsidRDefault="00000000" w:rsidRPr="00000000" w14:paraId="00000007">
      <w:pPr>
        <w:widowControl w:val="0"/>
        <w:ind w:left="54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Educators will be able to demonstrate, by comparing and contrasting the 2009/2010 CAS and the 2020 CAS, their understanding of the following: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similarities and differences between the 2009/2010 and the 2020 CAS at a high level;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organization of the standards framework; and,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ind w:left="216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Why revisions were made.</w:t>
      </w:r>
    </w:p>
    <w:p w:rsidR="00000000" w:rsidDel="00000000" w:rsidP="00000000" w:rsidRDefault="00000000" w:rsidRPr="00000000" w14:paraId="0000000B">
      <w:pPr>
        <w:widowControl w:val="0"/>
        <w:ind w:left="216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Disciplinary Literacy Strategies: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“Writing in discipline-specific ways”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Speaking for understanding in content-areas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Close reading </w:t>
      </w:r>
    </w:p>
    <w:p w:rsidR="00000000" w:rsidDel="00000000" w:rsidP="00000000" w:rsidRDefault="00000000" w:rsidRPr="00000000" w14:paraId="00000010">
      <w:pPr>
        <w:spacing w:after="120" w:lineRule="auto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I. What is the difference between the 2009/2010 and 2020 standards?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Using the provided standards documents, provide 3 similarities and 3 differences between the versions. </w:t>
      </w:r>
    </w:p>
    <w:p w:rsidR="00000000" w:rsidDel="00000000" w:rsidP="00000000" w:rsidRDefault="00000000" w:rsidRPr="00000000" w14:paraId="00000014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5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25"/>
        <w:tblGridChange w:id="0">
          <w:tblGrid>
            <w:gridCol w:w="4425"/>
            <w:gridCol w:w="5025"/>
          </w:tblGrid>
        </w:tblGridChange>
      </w:tblGrid>
      <w:tr>
        <w:trPr>
          <w:trHeight w:val="3040" w:hRule="atLeast"/>
        </w:trPr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Similarities:  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Differences: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II. CAS Framework: Quick Walk Through Notes     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III. Fill in the blanks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Select the correct label for each sections of the standards document using the following options: Academic Context and Connections, Prepared Graduates, Grade Level Expectation, Evidence Outcomes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</w:rPr>
        <w:drawing>
          <wp:inline distB="114300" distT="114300" distL="114300" distR="114300">
            <wp:extent cx="5943600" cy="46005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IV. Standards Online System Notes     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V. Interaction with the Online Standards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Go to the CDE website link, </w:t>
      </w:r>
      <w:hyperlink r:id="rId7">
        <w:r w:rsidDel="00000000" w:rsidR="00000000" w:rsidRPr="00000000">
          <w:rPr>
            <w:rFonts w:ascii="Trebuchet MS" w:cs="Trebuchet MS" w:eastAsia="Trebuchet MS" w:hAnsi="Trebuchet MS"/>
            <w:u w:val="single"/>
            <w:rtl w:val="0"/>
          </w:rPr>
          <w:t xml:space="preserve">http://www.cde.state.co.us/standardsandinstruction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Bookmark the Office of Standards and Instructional Support Page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Take 5 minutes to interact with your content area standards.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Additional Notes: 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u w:val="single"/>
          <w:rtl w:val="0"/>
        </w:rPr>
        <w:t xml:space="preserve">Assessment: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Using your notes, craft a one paragraph elevator speech that answers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What are the differences between the 2009/2010 and 2020 standards?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What is the organization of the standards framework?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Why were revisions made to the academic standards?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5"/>
        <w:gridCol w:w="5010"/>
        <w:tblGridChange w:id="0">
          <w:tblGrid>
            <w:gridCol w:w="5595"/>
            <w:gridCol w:w="5010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Elevator Speech:</w:t>
            </w:r>
          </w:p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676525" cy="1676400"/>
                  <wp:effectExtent b="0" l="0" r="0" t="0"/>
                  <wp:docPr descr="https://lh6.googleusercontent.com/wGoBcURck6L8JA4DHL6nwhlGWEFJYwjeGlo4LRM9EojSoz34oN3YveTeUEzVc1COk7btKZl0tnBHiw5LzEi552uREqPQcST6CPkk9tboYwPJvHGmnN-oYDLRHsr8feH9isgrWfcBQt4" id="1" name="image4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wGoBcURck6L8JA4DHL6nwhlGWEFJYwjeGlo4LRM9EojSoz34oN3YveTeUEzVc1COk7btKZl0tnBHiw5LzEi552uREqPQcST6CPkk9tboYwPJvHGmnN-oYDLRHsr8feH9isgrWfcBQt4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sz w:val="24"/>
          <w:szCs w:val="24"/>
          <w:highlight w:val="yellow"/>
          <w:u w:val="single"/>
          <w:vertAlign w:val="baseline"/>
          <w:rtl w:val="0"/>
        </w:rPr>
        <w:t xml:space="preserve">Practice, Practice, Practice!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Find a colleague that teaches the same discipline and read your elevator speech to him/her. If the elevator speech answers all the three questions, give him/her a handshake. If not, bid him/her adieu with a wave and motion of the elevator closing.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3891721" cy="1715052"/>
            <wp:effectExtent b="0" l="0" r="0" t="0"/>
            <wp:docPr descr="https://lh4.googleusercontent.com/kyopk1_LziA_qhpoPcskrEkH9UbL_22HPvfpANQRKaRfvwUAx9xJXk-OU21-tZXPzIev1ig_CuTbWz8gMyYWLCnhgS-M5qi4VuIen3JovymDLSAR8aKHHbUKWbWAfPAyRFUx-4BZ7q8" id="3" name="image6.png"/>
            <a:graphic>
              <a:graphicData uri="http://schemas.openxmlformats.org/drawingml/2006/picture">
                <pic:pic>
                  <pic:nvPicPr>
                    <pic:cNvPr descr="https://lh4.googleusercontent.com/kyopk1_LziA_qhpoPcskrEkH9UbL_22HPvfpANQRKaRfvwUAx9xJXk-OU21-tZXPzIev1ig_CuTbWz8gMyYWLCnhgS-M5qi4VuIen3JovymDLSAR8aKHHbUKWbWAfPAyRFUx-4BZ7q8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1721" cy="1715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left"/>
        <w:rPr/>
      </w:pPr>
      <w:bookmarkStart w:colFirst="0" w:colLast="0" w:name="_z4a3swa405x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tqncwek2wuyj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u w:val="single"/>
          <w:rtl w:val="0"/>
        </w:rPr>
        <w:t xml:space="preserve">Reflection: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v03xt7m26x1t" w:id="3"/>
      <w:bookmarkEnd w:id="3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72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http://www.cde.state.co.us/standardsandinstruction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